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sz w:val="28"/>
          <w:szCs w:val="28"/>
        </w:rPr>
      </w:pPr>
    </w:p>
    <w:p>
      <w:pPr>
        <w:spacing w:line="580" w:lineRule="exact"/>
        <w:jc w:val="center"/>
        <w:rPr>
          <w:rFonts w:ascii="方正小标宋简体" w:hAnsi="方正小标宋简体" w:eastAsia="方正小标宋简体" w:cs="方正小标宋简体"/>
          <w:sz w:val="44"/>
          <w:szCs w:val="44"/>
        </w:rPr>
      </w:pPr>
      <w:bookmarkStart w:id="0" w:name="OLE_LINK3"/>
      <w:r>
        <w:rPr>
          <w:rFonts w:hint="eastAsia" w:ascii="方正小标宋简体" w:hAnsi="方正小标宋简体" w:eastAsia="方正小标宋简体" w:cs="方正小标宋简体"/>
          <w:sz w:val="44"/>
          <w:szCs w:val="44"/>
        </w:rPr>
        <w:t>合肥市第</w:t>
      </w:r>
      <w:r>
        <w:rPr>
          <w:rFonts w:hint="eastAsia" w:ascii="方正小标宋简体" w:eastAsia="方正小标宋简体"/>
          <w:sz w:val="44"/>
          <w:szCs w:val="44"/>
        </w:rPr>
        <w:t>三十八中学</w:t>
      </w:r>
      <w:r>
        <w:rPr>
          <w:rFonts w:hint="eastAsia" w:ascii="方正小标宋简体" w:hAnsi="方正小标宋简体" w:eastAsia="方正小标宋简体" w:cs="方正小标宋简体"/>
          <w:sz w:val="44"/>
          <w:szCs w:val="44"/>
        </w:rPr>
        <w:t>2020年度</w:t>
      </w:r>
    </w:p>
    <w:p>
      <w:pPr>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一般公共预算及政府性基金财政</w:t>
      </w:r>
    </w:p>
    <w:p>
      <w:pPr>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拨款“三公”经费支出决算情况说明</w:t>
      </w:r>
    </w:p>
    <w:p>
      <w:pPr>
        <w:ind w:firstLine="280" w:firstLineChars="100"/>
        <w:rPr>
          <w:rFonts w:ascii="宋体" w:hAnsi="宋体"/>
          <w:sz w:val="28"/>
          <w:szCs w:val="28"/>
        </w:rPr>
      </w:pPr>
    </w:p>
    <w:p>
      <w:pPr>
        <w:spacing w:line="580" w:lineRule="exact"/>
        <w:ind w:firstLine="640" w:firstLineChars="200"/>
        <w:rPr>
          <w:rFonts w:ascii="楷体" w:hAnsi="楷体" w:eastAsia="楷体"/>
          <w:b/>
        </w:rPr>
      </w:pPr>
      <w:r>
        <w:rPr>
          <w:rFonts w:hint="eastAsia" w:ascii="黑体" w:hAnsi="黑体" w:eastAsia="黑体" w:cs="黑体"/>
          <w:bCs/>
        </w:rPr>
        <w:t>一、2020年度一般公共预算及政府性基金财政拨款“三公”经费支出决算表</w:t>
      </w:r>
    </w:p>
    <w:p>
      <w:pPr>
        <w:spacing w:line="580" w:lineRule="exact"/>
        <w:rPr>
          <w:rFonts w:ascii="黑体" w:eastAsia="黑体"/>
          <w:szCs w:val="32"/>
        </w:rPr>
      </w:pPr>
      <w:r>
        <w:rPr>
          <w:rFonts w:hint="eastAsia" w:ascii="宋体" w:hAnsi="宋体" w:eastAsia="宋体"/>
          <w:sz w:val="22"/>
          <w:szCs w:val="22"/>
        </w:rPr>
        <w:t>编制部门：合肥市第三十八中学                            金额单位：万元</w:t>
      </w:r>
    </w:p>
    <w:tbl>
      <w:tblPr>
        <w:tblStyle w:val="6"/>
        <w:tblW w:w="10348" w:type="dxa"/>
        <w:tblInd w:w="-10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3"/>
        <w:gridCol w:w="1018"/>
        <w:gridCol w:w="1559"/>
        <w:gridCol w:w="1559"/>
        <w:gridCol w:w="733"/>
        <w:gridCol w:w="1677"/>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3" w:type="dxa"/>
            <w:vMerge w:val="restart"/>
            <w:vAlign w:val="center"/>
          </w:tcPr>
          <w:p>
            <w:pPr>
              <w:widowControl/>
              <w:rPr>
                <w:rFonts w:ascii="宋体" w:hAnsi="宋体" w:eastAsia="宋体" w:cs="Arial"/>
                <w:color w:val="000000"/>
                <w:kern w:val="0"/>
                <w:sz w:val="22"/>
                <w:szCs w:val="22"/>
              </w:rPr>
            </w:pPr>
          </w:p>
          <w:p>
            <w:pPr>
              <w:widowControl/>
              <w:rPr>
                <w:rFonts w:ascii="宋体" w:hAnsi="宋体" w:eastAsia="宋体" w:cs="Arial"/>
                <w:color w:val="000000"/>
                <w:kern w:val="0"/>
                <w:sz w:val="22"/>
                <w:szCs w:val="22"/>
              </w:rPr>
            </w:pPr>
            <w:r>
              <w:rPr>
                <w:rFonts w:hint="eastAsia" w:ascii="宋体" w:hAnsi="宋体" w:eastAsia="宋体" w:cs="Arial"/>
                <w:color w:val="000000"/>
                <w:kern w:val="0"/>
                <w:sz w:val="22"/>
                <w:szCs w:val="22"/>
              </w:rPr>
              <w:t>项目</w:t>
            </w:r>
          </w:p>
        </w:tc>
        <w:tc>
          <w:tcPr>
            <w:tcW w:w="4136" w:type="dxa"/>
            <w:gridSpan w:val="3"/>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预算数</w:t>
            </w:r>
          </w:p>
        </w:tc>
        <w:tc>
          <w:tcPr>
            <w:tcW w:w="3969" w:type="dxa"/>
            <w:gridSpan w:val="3"/>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2243" w:type="dxa"/>
            <w:vMerge w:val="continue"/>
            <w:vAlign w:val="center"/>
          </w:tcPr>
          <w:p>
            <w:pPr>
              <w:widowControl/>
              <w:rPr>
                <w:rFonts w:ascii="宋体" w:hAnsi="宋体" w:eastAsia="宋体" w:cs="Arial"/>
                <w:color w:val="000000"/>
                <w:kern w:val="0"/>
                <w:sz w:val="22"/>
                <w:szCs w:val="22"/>
              </w:rPr>
            </w:pPr>
          </w:p>
        </w:tc>
        <w:tc>
          <w:tcPr>
            <w:tcW w:w="1018" w:type="dxa"/>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合计</w:t>
            </w:r>
          </w:p>
        </w:tc>
        <w:tc>
          <w:tcPr>
            <w:tcW w:w="1559" w:type="dxa"/>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一般公共预算</w:t>
            </w:r>
          </w:p>
        </w:tc>
        <w:tc>
          <w:tcPr>
            <w:tcW w:w="1559" w:type="dxa"/>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政府性基金</w:t>
            </w:r>
          </w:p>
        </w:tc>
        <w:tc>
          <w:tcPr>
            <w:tcW w:w="733" w:type="dxa"/>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合计</w:t>
            </w:r>
          </w:p>
        </w:tc>
        <w:tc>
          <w:tcPr>
            <w:tcW w:w="1677" w:type="dxa"/>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一般公共预算</w:t>
            </w:r>
          </w:p>
        </w:tc>
        <w:tc>
          <w:tcPr>
            <w:tcW w:w="1559" w:type="dxa"/>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政府性基金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2243" w:type="dxa"/>
            <w:vAlign w:val="center"/>
          </w:tcPr>
          <w:p>
            <w:pPr>
              <w:widowControl/>
              <w:rPr>
                <w:rFonts w:ascii="宋体" w:hAnsi="宋体" w:eastAsia="宋体" w:cs="Arial"/>
                <w:color w:val="000000"/>
                <w:kern w:val="0"/>
                <w:sz w:val="22"/>
                <w:szCs w:val="22"/>
              </w:rPr>
            </w:pPr>
            <w:r>
              <w:rPr>
                <w:rFonts w:hint="eastAsia" w:ascii="宋体" w:hAnsi="宋体" w:eastAsia="宋体" w:cs="Arial"/>
                <w:color w:val="000000"/>
                <w:kern w:val="0"/>
                <w:sz w:val="22"/>
                <w:szCs w:val="22"/>
              </w:rPr>
              <w:t>因公出国（境）费</w:t>
            </w:r>
          </w:p>
        </w:tc>
        <w:tc>
          <w:tcPr>
            <w:tcW w:w="1018" w:type="dxa"/>
            <w:vAlign w:val="center"/>
          </w:tcPr>
          <w:p>
            <w:pPr>
              <w:widowControl/>
              <w:jc w:val="center"/>
              <w:rPr>
                <w:rFonts w:hint="default" w:ascii="宋体" w:hAnsi="宋体" w:eastAsia="宋体" w:cs="Arial"/>
                <w:color w:val="000000"/>
                <w:kern w:val="0"/>
                <w:sz w:val="22"/>
                <w:szCs w:val="22"/>
                <w:lang w:val="en-US" w:eastAsia="zh-CN"/>
              </w:rPr>
            </w:pPr>
            <w:r>
              <w:rPr>
                <w:rFonts w:hint="eastAsia" w:ascii="宋体" w:hAnsi="宋体" w:eastAsia="宋体" w:cs="Arial"/>
                <w:color w:val="000000"/>
                <w:kern w:val="0"/>
                <w:sz w:val="22"/>
                <w:szCs w:val="22"/>
              </w:rPr>
              <w:t>0</w:t>
            </w:r>
            <w:r>
              <w:rPr>
                <w:rFonts w:hint="eastAsia" w:ascii="宋体" w:hAnsi="宋体" w:eastAsia="宋体" w:cs="Arial"/>
                <w:color w:val="000000"/>
                <w:kern w:val="0"/>
                <w:sz w:val="22"/>
                <w:szCs w:val="22"/>
                <w:lang w:val="en-US" w:eastAsia="zh-CN"/>
              </w:rPr>
              <w:t>.00</w:t>
            </w:r>
          </w:p>
        </w:tc>
        <w:tc>
          <w:tcPr>
            <w:tcW w:w="1559" w:type="dxa"/>
            <w:vAlign w:val="center"/>
          </w:tcPr>
          <w:p>
            <w:pPr>
              <w:widowControl/>
              <w:jc w:val="center"/>
              <w:rPr>
                <w:rFonts w:hint="default" w:ascii="宋体" w:hAnsi="宋体" w:eastAsia="宋体" w:cs="Arial"/>
                <w:color w:val="000000"/>
                <w:kern w:val="0"/>
                <w:sz w:val="22"/>
                <w:szCs w:val="22"/>
                <w:lang w:val="en-US" w:eastAsia="zh-CN"/>
              </w:rPr>
            </w:pPr>
            <w:r>
              <w:rPr>
                <w:rFonts w:hint="eastAsia" w:ascii="宋体" w:hAnsi="宋体" w:eastAsia="宋体" w:cs="Arial"/>
                <w:color w:val="000000"/>
                <w:kern w:val="0"/>
                <w:sz w:val="22"/>
                <w:szCs w:val="22"/>
              </w:rPr>
              <w:t>0</w:t>
            </w:r>
            <w:r>
              <w:rPr>
                <w:rFonts w:hint="eastAsia" w:ascii="宋体" w:hAnsi="宋体" w:eastAsia="宋体" w:cs="Arial"/>
                <w:color w:val="000000"/>
                <w:kern w:val="0"/>
                <w:sz w:val="22"/>
                <w:szCs w:val="22"/>
                <w:lang w:val="en-US" w:eastAsia="zh-CN"/>
              </w:rPr>
              <w:t>.00</w:t>
            </w:r>
          </w:p>
        </w:tc>
        <w:tc>
          <w:tcPr>
            <w:tcW w:w="1559" w:type="dxa"/>
            <w:vAlign w:val="center"/>
          </w:tcPr>
          <w:p>
            <w:pPr>
              <w:widowControl/>
              <w:jc w:val="center"/>
              <w:rPr>
                <w:rFonts w:hint="default" w:ascii="宋体" w:hAnsi="宋体" w:eastAsia="宋体" w:cs="Arial"/>
                <w:color w:val="000000"/>
                <w:kern w:val="0"/>
                <w:sz w:val="22"/>
                <w:szCs w:val="22"/>
                <w:lang w:val="en-US" w:eastAsia="zh-CN"/>
              </w:rPr>
            </w:pPr>
            <w:r>
              <w:rPr>
                <w:rFonts w:hint="eastAsia" w:ascii="宋体" w:hAnsi="宋体" w:eastAsia="宋体" w:cs="Arial"/>
                <w:color w:val="000000"/>
                <w:kern w:val="0"/>
                <w:sz w:val="22"/>
                <w:szCs w:val="22"/>
              </w:rPr>
              <w:t>0</w:t>
            </w:r>
            <w:r>
              <w:rPr>
                <w:rFonts w:hint="eastAsia" w:ascii="宋体" w:hAnsi="宋体" w:eastAsia="宋体" w:cs="Arial"/>
                <w:color w:val="000000"/>
                <w:kern w:val="0"/>
                <w:sz w:val="22"/>
                <w:szCs w:val="22"/>
                <w:lang w:val="en-US" w:eastAsia="zh-CN"/>
              </w:rPr>
              <w:t>.00</w:t>
            </w:r>
          </w:p>
        </w:tc>
        <w:tc>
          <w:tcPr>
            <w:tcW w:w="733" w:type="dxa"/>
            <w:vAlign w:val="center"/>
          </w:tcPr>
          <w:p>
            <w:pPr>
              <w:widowControl/>
              <w:jc w:val="center"/>
              <w:rPr>
                <w:rFonts w:hint="default" w:ascii="宋体" w:hAnsi="宋体" w:eastAsia="宋体" w:cs="Arial"/>
                <w:color w:val="000000"/>
                <w:kern w:val="0"/>
                <w:sz w:val="22"/>
                <w:szCs w:val="22"/>
                <w:lang w:val="en-US" w:eastAsia="zh-CN"/>
              </w:rPr>
            </w:pPr>
            <w:r>
              <w:rPr>
                <w:rFonts w:hint="eastAsia" w:ascii="宋体" w:hAnsi="宋体" w:eastAsia="宋体" w:cs="Arial"/>
                <w:color w:val="000000"/>
                <w:kern w:val="0"/>
                <w:sz w:val="22"/>
                <w:szCs w:val="22"/>
              </w:rPr>
              <w:t>0</w:t>
            </w:r>
            <w:r>
              <w:rPr>
                <w:rFonts w:hint="eastAsia" w:ascii="宋体" w:hAnsi="宋体" w:eastAsia="宋体" w:cs="Arial"/>
                <w:color w:val="000000"/>
                <w:kern w:val="0"/>
                <w:sz w:val="22"/>
                <w:szCs w:val="22"/>
                <w:lang w:val="en-US" w:eastAsia="zh-CN"/>
              </w:rPr>
              <w:t>.00</w:t>
            </w:r>
          </w:p>
        </w:tc>
        <w:tc>
          <w:tcPr>
            <w:tcW w:w="1677" w:type="dxa"/>
            <w:vAlign w:val="center"/>
          </w:tcPr>
          <w:p>
            <w:pPr>
              <w:widowControl/>
              <w:jc w:val="center"/>
              <w:rPr>
                <w:rFonts w:hint="default" w:ascii="宋体" w:hAnsi="宋体" w:eastAsia="宋体" w:cs="Arial"/>
                <w:color w:val="000000"/>
                <w:kern w:val="0"/>
                <w:sz w:val="22"/>
                <w:szCs w:val="22"/>
                <w:lang w:val="en-US" w:eastAsia="zh-CN"/>
              </w:rPr>
            </w:pPr>
            <w:r>
              <w:rPr>
                <w:rFonts w:hint="eastAsia" w:ascii="宋体" w:hAnsi="宋体" w:eastAsia="宋体" w:cs="Arial"/>
                <w:color w:val="000000"/>
                <w:kern w:val="0"/>
                <w:sz w:val="22"/>
                <w:szCs w:val="22"/>
              </w:rPr>
              <w:t>0</w:t>
            </w:r>
            <w:r>
              <w:rPr>
                <w:rFonts w:hint="eastAsia" w:ascii="宋体" w:hAnsi="宋体" w:eastAsia="宋体" w:cs="Arial"/>
                <w:color w:val="000000"/>
                <w:kern w:val="0"/>
                <w:sz w:val="22"/>
                <w:szCs w:val="22"/>
                <w:lang w:val="en-US" w:eastAsia="zh-CN"/>
              </w:rPr>
              <w:t>.00</w:t>
            </w:r>
          </w:p>
        </w:tc>
        <w:tc>
          <w:tcPr>
            <w:tcW w:w="1559" w:type="dxa"/>
            <w:vAlign w:val="center"/>
          </w:tcPr>
          <w:p>
            <w:pPr>
              <w:widowControl/>
              <w:jc w:val="center"/>
              <w:rPr>
                <w:rFonts w:hint="default" w:ascii="宋体" w:hAnsi="宋体" w:eastAsia="宋体" w:cs="Arial"/>
                <w:color w:val="000000"/>
                <w:kern w:val="0"/>
                <w:sz w:val="22"/>
                <w:szCs w:val="22"/>
                <w:lang w:val="en-US" w:eastAsia="zh-CN"/>
              </w:rPr>
            </w:pPr>
            <w:r>
              <w:rPr>
                <w:rFonts w:hint="eastAsia" w:ascii="宋体" w:hAnsi="宋体" w:eastAsia="宋体" w:cs="Arial"/>
                <w:color w:val="000000"/>
                <w:kern w:val="0"/>
                <w:sz w:val="22"/>
                <w:szCs w:val="22"/>
              </w:rPr>
              <w:t>0</w:t>
            </w:r>
            <w:r>
              <w:rPr>
                <w:rFonts w:hint="eastAsia" w:ascii="宋体" w:hAnsi="宋体" w:eastAsia="宋体" w:cs="Arial"/>
                <w:color w:val="000000"/>
                <w:kern w:val="0"/>
                <w:sz w:val="22"/>
                <w:szCs w:val="22"/>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3" w:type="dxa"/>
            <w:vAlign w:val="center"/>
          </w:tcPr>
          <w:p>
            <w:pPr>
              <w:widowControl/>
              <w:rPr>
                <w:rFonts w:ascii="宋体" w:hAnsi="宋体" w:eastAsia="宋体" w:cs="Arial"/>
                <w:color w:val="000000"/>
                <w:kern w:val="0"/>
                <w:sz w:val="22"/>
                <w:szCs w:val="22"/>
              </w:rPr>
            </w:pPr>
            <w:r>
              <w:rPr>
                <w:rFonts w:hint="eastAsia" w:ascii="宋体" w:hAnsi="宋体" w:eastAsia="宋体" w:cs="Arial"/>
                <w:color w:val="000000"/>
                <w:kern w:val="0"/>
                <w:sz w:val="22"/>
                <w:szCs w:val="22"/>
              </w:rPr>
              <w:t>公务接待费</w:t>
            </w:r>
          </w:p>
        </w:tc>
        <w:tc>
          <w:tcPr>
            <w:tcW w:w="1018" w:type="dxa"/>
            <w:vAlign w:val="center"/>
          </w:tcPr>
          <w:p>
            <w:pPr>
              <w:widowControl/>
              <w:jc w:val="center"/>
              <w:rPr>
                <w:rFonts w:hint="default" w:ascii="宋体" w:hAnsi="宋体" w:eastAsia="宋体" w:cs="Arial"/>
                <w:color w:val="000000"/>
                <w:kern w:val="0"/>
                <w:sz w:val="22"/>
                <w:szCs w:val="22"/>
                <w:lang w:val="en-US" w:eastAsia="zh-CN"/>
              </w:rPr>
            </w:pPr>
            <w:r>
              <w:rPr>
                <w:rFonts w:hint="eastAsia" w:ascii="宋体" w:hAnsi="宋体" w:eastAsia="宋体" w:cs="Arial"/>
                <w:color w:val="000000"/>
                <w:kern w:val="0"/>
                <w:sz w:val="22"/>
                <w:szCs w:val="22"/>
              </w:rPr>
              <w:t>0</w:t>
            </w:r>
            <w:r>
              <w:rPr>
                <w:rFonts w:hint="eastAsia" w:ascii="宋体" w:hAnsi="宋体" w:eastAsia="宋体" w:cs="Arial"/>
                <w:color w:val="000000"/>
                <w:kern w:val="0"/>
                <w:sz w:val="22"/>
                <w:szCs w:val="22"/>
                <w:lang w:val="en-US" w:eastAsia="zh-CN"/>
              </w:rPr>
              <w:t>.00</w:t>
            </w:r>
          </w:p>
        </w:tc>
        <w:tc>
          <w:tcPr>
            <w:tcW w:w="1559" w:type="dxa"/>
            <w:vAlign w:val="center"/>
          </w:tcPr>
          <w:p>
            <w:pPr>
              <w:widowControl/>
              <w:jc w:val="center"/>
              <w:rPr>
                <w:rFonts w:hint="default" w:ascii="宋体" w:hAnsi="宋体" w:eastAsia="宋体" w:cs="Arial"/>
                <w:color w:val="000000"/>
                <w:kern w:val="0"/>
                <w:sz w:val="22"/>
                <w:szCs w:val="22"/>
                <w:lang w:val="en-US" w:eastAsia="zh-CN"/>
              </w:rPr>
            </w:pPr>
            <w:r>
              <w:rPr>
                <w:rFonts w:hint="eastAsia" w:ascii="宋体" w:hAnsi="宋体" w:eastAsia="宋体" w:cs="Arial"/>
                <w:color w:val="000000"/>
                <w:kern w:val="0"/>
                <w:sz w:val="22"/>
                <w:szCs w:val="22"/>
              </w:rPr>
              <w:t>0</w:t>
            </w:r>
            <w:r>
              <w:rPr>
                <w:rFonts w:hint="eastAsia" w:ascii="宋体" w:hAnsi="宋体" w:eastAsia="宋体" w:cs="Arial"/>
                <w:color w:val="000000"/>
                <w:kern w:val="0"/>
                <w:sz w:val="22"/>
                <w:szCs w:val="22"/>
                <w:lang w:val="en-US" w:eastAsia="zh-CN"/>
              </w:rPr>
              <w:t>.00</w:t>
            </w:r>
          </w:p>
        </w:tc>
        <w:tc>
          <w:tcPr>
            <w:tcW w:w="1559" w:type="dxa"/>
            <w:vAlign w:val="center"/>
          </w:tcPr>
          <w:p>
            <w:pPr>
              <w:widowControl/>
              <w:jc w:val="center"/>
              <w:rPr>
                <w:rFonts w:hint="default" w:ascii="宋体" w:hAnsi="宋体" w:eastAsia="宋体" w:cs="Arial"/>
                <w:color w:val="000000"/>
                <w:kern w:val="0"/>
                <w:sz w:val="22"/>
                <w:szCs w:val="22"/>
                <w:lang w:val="en-US" w:eastAsia="zh-CN"/>
              </w:rPr>
            </w:pPr>
            <w:r>
              <w:rPr>
                <w:rFonts w:hint="eastAsia" w:ascii="宋体" w:hAnsi="宋体" w:eastAsia="宋体" w:cs="Arial"/>
                <w:color w:val="000000"/>
                <w:kern w:val="0"/>
                <w:sz w:val="22"/>
                <w:szCs w:val="22"/>
              </w:rPr>
              <w:t>0</w:t>
            </w:r>
            <w:r>
              <w:rPr>
                <w:rFonts w:hint="eastAsia" w:ascii="宋体" w:hAnsi="宋体" w:eastAsia="宋体" w:cs="Arial"/>
                <w:color w:val="000000"/>
                <w:kern w:val="0"/>
                <w:sz w:val="22"/>
                <w:szCs w:val="22"/>
                <w:lang w:val="en-US" w:eastAsia="zh-CN"/>
              </w:rPr>
              <w:t>.00</w:t>
            </w:r>
          </w:p>
        </w:tc>
        <w:tc>
          <w:tcPr>
            <w:tcW w:w="733" w:type="dxa"/>
            <w:vAlign w:val="center"/>
          </w:tcPr>
          <w:p>
            <w:pPr>
              <w:widowControl/>
              <w:jc w:val="center"/>
              <w:rPr>
                <w:rFonts w:hint="default" w:ascii="宋体" w:hAnsi="宋体" w:eastAsia="宋体" w:cs="Arial"/>
                <w:color w:val="000000"/>
                <w:kern w:val="0"/>
                <w:sz w:val="22"/>
                <w:szCs w:val="22"/>
                <w:lang w:val="en-US" w:eastAsia="zh-CN"/>
              </w:rPr>
            </w:pPr>
            <w:r>
              <w:rPr>
                <w:rFonts w:hint="eastAsia" w:ascii="宋体" w:hAnsi="宋体" w:eastAsia="宋体" w:cs="Arial"/>
                <w:color w:val="000000"/>
                <w:kern w:val="0"/>
                <w:sz w:val="22"/>
                <w:szCs w:val="22"/>
              </w:rPr>
              <w:t>0</w:t>
            </w:r>
            <w:r>
              <w:rPr>
                <w:rFonts w:hint="eastAsia" w:ascii="宋体" w:hAnsi="宋体" w:eastAsia="宋体" w:cs="Arial"/>
                <w:color w:val="000000"/>
                <w:kern w:val="0"/>
                <w:sz w:val="22"/>
                <w:szCs w:val="22"/>
                <w:lang w:val="en-US" w:eastAsia="zh-CN"/>
              </w:rPr>
              <w:t>.00</w:t>
            </w:r>
          </w:p>
        </w:tc>
        <w:tc>
          <w:tcPr>
            <w:tcW w:w="1677" w:type="dxa"/>
            <w:vAlign w:val="center"/>
          </w:tcPr>
          <w:p>
            <w:pPr>
              <w:widowControl/>
              <w:jc w:val="center"/>
              <w:rPr>
                <w:rFonts w:hint="default" w:ascii="宋体" w:hAnsi="宋体" w:eastAsia="宋体" w:cs="Arial"/>
                <w:color w:val="000000"/>
                <w:kern w:val="0"/>
                <w:sz w:val="22"/>
                <w:szCs w:val="22"/>
                <w:lang w:val="en-US" w:eastAsia="zh-CN"/>
              </w:rPr>
            </w:pPr>
            <w:r>
              <w:rPr>
                <w:rFonts w:hint="eastAsia" w:ascii="宋体" w:hAnsi="宋体" w:eastAsia="宋体" w:cs="Arial"/>
                <w:color w:val="000000"/>
                <w:kern w:val="0"/>
                <w:sz w:val="22"/>
                <w:szCs w:val="22"/>
              </w:rPr>
              <w:t>0</w:t>
            </w:r>
            <w:r>
              <w:rPr>
                <w:rFonts w:hint="eastAsia" w:ascii="宋体" w:hAnsi="宋体" w:eastAsia="宋体" w:cs="Arial"/>
                <w:color w:val="000000"/>
                <w:kern w:val="0"/>
                <w:sz w:val="22"/>
                <w:szCs w:val="22"/>
                <w:lang w:val="en-US" w:eastAsia="zh-CN"/>
              </w:rPr>
              <w:t>.00</w:t>
            </w:r>
          </w:p>
        </w:tc>
        <w:tc>
          <w:tcPr>
            <w:tcW w:w="1559" w:type="dxa"/>
            <w:vAlign w:val="center"/>
          </w:tcPr>
          <w:p>
            <w:pPr>
              <w:widowControl/>
              <w:jc w:val="center"/>
              <w:rPr>
                <w:rFonts w:hint="default" w:ascii="宋体" w:hAnsi="宋体" w:eastAsia="宋体" w:cs="Arial"/>
                <w:color w:val="000000"/>
                <w:kern w:val="0"/>
                <w:sz w:val="22"/>
                <w:szCs w:val="22"/>
                <w:lang w:val="en-US" w:eastAsia="zh-CN"/>
              </w:rPr>
            </w:pPr>
            <w:r>
              <w:rPr>
                <w:rFonts w:hint="eastAsia" w:ascii="宋体" w:hAnsi="宋体" w:eastAsia="宋体" w:cs="Arial"/>
                <w:color w:val="000000"/>
                <w:kern w:val="0"/>
                <w:sz w:val="22"/>
                <w:szCs w:val="22"/>
              </w:rPr>
              <w:t>0</w:t>
            </w:r>
            <w:r>
              <w:rPr>
                <w:rFonts w:hint="eastAsia" w:ascii="宋体" w:hAnsi="宋体" w:eastAsia="宋体" w:cs="Arial"/>
                <w:color w:val="000000"/>
                <w:kern w:val="0"/>
                <w:sz w:val="22"/>
                <w:szCs w:val="22"/>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3" w:type="dxa"/>
            <w:vAlign w:val="center"/>
          </w:tcPr>
          <w:p>
            <w:pPr>
              <w:widowControl/>
              <w:rPr>
                <w:rFonts w:ascii="宋体" w:hAnsi="宋体" w:eastAsia="宋体" w:cs="Arial"/>
                <w:color w:val="000000"/>
                <w:kern w:val="0"/>
                <w:sz w:val="22"/>
                <w:szCs w:val="22"/>
              </w:rPr>
            </w:pPr>
            <w:r>
              <w:rPr>
                <w:rFonts w:hint="eastAsia" w:ascii="宋体" w:hAnsi="宋体" w:eastAsia="宋体" w:cs="Arial"/>
                <w:color w:val="000000"/>
                <w:kern w:val="0"/>
                <w:sz w:val="22"/>
                <w:szCs w:val="22"/>
              </w:rPr>
              <w:t>公务用车购置及运行费</w:t>
            </w:r>
          </w:p>
        </w:tc>
        <w:tc>
          <w:tcPr>
            <w:tcW w:w="1018" w:type="dxa"/>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2.99</w:t>
            </w:r>
          </w:p>
        </w:tc>
        <w:tc>
          <w:tcPr>
            <w:tcW w:w="1559" w:type="dxa"/>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2.99</w:t>
            </w:r>
          </w:p>
        </w:tc>
        <w:tc>
          <w:tcPr>
            <w:tcW w:w="1559" w:type="dxa"/>
            <w:vAlign w:val="center"/>
          </w:tcPr>
          <w:p>
            <w:pPr>
              <w:widowControl/>
              <w:jc w:val="center"/>
              <w:rPr>
                <w:rFonts w:hint="default" w:ascii="宋体" w:hAnsi="宋体" w:eastAsia="宋体" w:cs="Arial"/>
                <w:color w:val="000000"/>
                <w:kern w:val="0"/>
                <w:sz w:val="22"/>
                <w:szCs w:val="22"/>
                <w:lang w:val="en-US" w:eastAsia="zh-CN"/>
              </w:rPr>
            </w:pPr>
            <w:r>
              <w:rPr>
                <w:rFonts w:hint="eastAsia" w:ascii="宋体" w:hAnsi="宋体" w:eastAsia="宋体" w:cs="Arial"/>
                <w:color w:val="000000"/>
                <w:kern w:val="0"/>
                <w:sz w:val="22"/>
                <w:szCs w:val="22"/>
              </w:rPr>
              <w:t>0</w:t>
            </w:r>
            <w:r>
              <w:rPr>
                <w:rFonts w:hint="eastAsia" w:ascii="宋体" w:hAnsi="宋体" w:eastAsia="宋体" w:cs="Arial"/>
                <w:color w:val="000000"/>
                <w:kern w:val="0"/>
                <w:sz w:val="22"/>
                <w:szCs w:val="22"/>
                <w:lang w:val="en-US" w:eastAsia="zh-CN"/>
              </w:rPr>
              <w:t>.00</w:t>
            </w:r>
          </w:p>
        </w:tc>
        <w:tc>
          <w:tcPr>
            <w:tcW w:w="733" w:type="dxa"/>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2.99</w:t>
            </w:r>
          </w:p>
        </w:tc>
        <w:tc>
          <w:tcPr>
            <w:tcW w:w="1677" w:type="dxa"/>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2.99</w:t>
            </w:r>
          </w:p>
        </w:tc>
        <w:tc>
          <w:tcPr>
            <w:tcW w:w="1559" w:type="dxa"/>
            <w:vAlign w:val="center"/>
          </w:tcPr>
          <w:p>
            <w:pPr>
              <w:widowControl/>
              <w:jc w:val="center"/>
              <w:rPr>
                <w:rFonts w:hint="default" w:ascii="宋体" w:hAnsi="宋体" w:eastAsia="宋体" w:cs="Arial"/>
                <w:color w:val="000000"/>
                <w:kern w:val="0"/>
                <w:sz w:val="22"/>
                <w:szCs w:val="22"/>
                <w:lang w:val="en-US" w:eastAsia="zh-CN"/>
              </w:rPr>
            </w:pPr>
            <w:r>
              <w:rPr>
                <w:rFonts w:hint="eastAsia" w:ascii="宋体" w:hAnsi="宋体" w:eastAsia="宋体" w:cs="Arial"/>
                <w:color w:val="000000"/>
                <w:kern w:val="0"/>
                <w:sz w:val="22"/>
                <w:szCs w:val="22"/>
              </w:rPr>
              <w:t>0</w:t>
            </w:r>
            <w:r>
              <w:rPr>
                <w:rFonts w:hint="eastAsia" w:ascii="宋体" w:hAnsi="宋体" w:eastAsia="宋体" w:cs="Arial"/>
                <w:color w:val="000000"/>
                <w:kern w:val="0"/>
                <w:sz w:val="22"/>
                <w:szCs w:val="22"/>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3" w:type="dxa"/>
            <w:vAlign w:val="center"/>
          </w:tcPr>
          <w:p>
            <w:pPr>
              <w:widowControl/>
              <w:ind w:firstLine="220" w:firstLineChars="100"/>
              <w:rPr>
                <w:rFonts w:ascii="宋体" w:hAnsi="宋体" w:eastAsia="宋体" w:cs="Arial"/>
                <w:color w:val="000000"/>
                <w:kern w:val="0"/>
                <w:sz w:val="22"/>
                <w:szCs w:val="22"/>
              </w:rPr>
            </w:pPr>
            <w:r>
              <w:rPr>
                <w:rFonts w:hint="eastAsia" w:ascii="宋体" w:hAnsi="宋体" w:eastAsia="宋体" w:cs="Arial"/>
                <w:color w:val="000000"/>
                <w:kern w:val="0"/>
                <w:sz w:val="22"/>
                <w:szCs w:val="22"/>
              </w:rPr>
              <w:t>其中：公务用车运行维护费</w:t>
            </w:r>
          </w:p>
        </w:tc>
        <w:tc>
          <w:tcPr>
            <w:tcW w:w="1018" w:type="dxa"/>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2.99</w:t>
            </w:r>
          </w:p>
        </w:tc>
        <w:tc>
          <w:tcPr>
            <w:tcW w:w="1559" w:type="dxa"/>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2.99</w:t>
            </w:r>
          </w:p>
        </w:tc>
        <w:tc>
          <w:tcPr>
            <w:tcW w:w="1559" w:type="dxa"/>
            <w:vAlign w:val="center"/>
          </w:tcPr>
          <w:p>
            <w:pPr>
              <w:widowControl/>
              <w:jc w:val="center"/>
              <w:rPr>
                <w:rFonts w:hint="default" w:ascii="宋体" w:hAnsi="宋体" w:eastAsia="宋体" w:cs="Arial"/>
                <w:color w:val="000000"/>
                <w:kern w:val="0"/>
                <w:sz w:val="22"/>
                <w:szCs w:val="22"/>
                <w:lang w:val="en-US" w:eastAsia="zh-CN"/>
              </w:rPr>
            </w:pPr>
            <w:r>
              <w:rPr>
                <w:rFonts w:hint="eastAsia" w:ascii="宋体" w:hAnsi="宋体" w:eastAsia="宋体" w:cs="Arial"/>
                <w:color w:val="000000"/>
                <w:kern w:val="0"/>
                <w:sz w:val="22"/>
                <w:szCs w:val="22"/>
              </w:rPr>
              <w:t>0</w:t>
            </w:r>
            <w:r>
              <w:rPr>
                <w:rFonts w:hint="eastAsia" w:ascii="宋体" w:hAnsi="宋体" w:eastAsia="宋体" w:cs="Arial"/>
                <w:color w:val="000000"/>
                <w:kern w:val="0"/>
                <w:sz w:val="22"/>
                <w:szCs w:val="22"/>
                <w:lang w:val="en-US" w:eastAsia="zh-CN"/>
              </w:rPr>
              <w:t>.00</w:t>
            </w:r>
          </w:p>
        </w:tc>
        <w:tc>
          <w:tcPr>
            <w:tcW w:w="733" w:type="dxa"/>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2.99</w:t>
            </w:r>
          </w:p>
        </w:tc>
        <w:tc>
          <w:tcPr>
            <w:tcW w:w="1677" w:type="dxa"/>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2.99</w:t>
            </w:r>
          </w:p>
        </w:tc>
        <w:tc>
          <w:tcPr>
            <w:tcW w:w="1559" w:type="dxa"/>
            <w:vAlign w:val="center"/>
          </w:tcPr>
          <w:p>
            <w:pPr>
              <w:widowControl/>
              <w:jc w:val="center"/>
              <w:rPr>
                <w:rFonts w:hint="default" w:ascii="宋体" w:hAnsi="宋体" w:eastAsia="宋体" w:cs="Arial"/>
                <w:color w:val="000000"/>
                <w:kern w:val="0"/>
                <w:sz w:val="22"/>
                <w:szCs w:val="22"/>
                <w:lang w:val="en-US" w:eastAsia="zh-CN"/>
              </w:rPr>
            </w:pPr>
            <w:r>
              <w:rPr>
                <w:rFonts w:hint="eastAsia" w:ascii="宋体" w:hAnsi="宋体" w:eastAsia="宋体" w:cs="Arial"/>
                <w:color w:val="000000"/>
                <w:kern w:val="0"/>
                <w:sz w:val="22"/>
                <w:szCs w:val="22"/>
              </w:rPr>
              <w:t>0</w:t>
            </w:r>
            <w:r>
              <w:rPr>
                <w:rFonts w:hint="eastAsia" w:ascii="宋体" w:hAnsi="宋体" w:eastAsia="宋体" w:cs="Arial"/>
                <w:color w:val="000000"/>
                <w:kern w:val="0"/>
                <w:sz w:val="22"/>
                <w:szCs w:val="22"/>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2243" w:type="dxa"/>
            <w:vAlign w:val="center"/>
          </w:tcPr>
          <w:p>
            <w:pPr>
              <w:widowControl/>
              <w:ind w:firstLine="220" w:firstLineChars="100"/>
              <w:rPr>
                <w:rFonts w:ascii="宋体" w:hAnsi="宋体" w:eastAsia="宋体" w:cs="Arial"/>
                <w:color w:val="000000"/>
                <w:kern w:val="0"/>
                <w:sz w:val="22"/>
                <w:szCs w:val="22"/>
              </w:rPr>
            </w:pPr>
            <w:r>
              <w:rPr>
                <w:rFonts w:hint="eastAsia" w:ascii="宋体" w:hAnsi="宋体" w:eastAsia="宋体" w:cs="Arial"/>
                <w:color w:val="000000"/>
                <w:kern w:val="0"/>
                <w:sz w:val="22"/>
                <w:szCs w:val="22"/>
              </w:rPr>
              <w:t>公务用车购置费</w:t>
            </w:r>
          </w:p>
        </w:tc>
        <w:tc>
          <w:tcPr>
            <w:tcW w:w="1018" w:type="dxa"/>
            <w:vAlign w:val="center"/>
          </w:tcPr>
          <w:p>
            <w:pPr>
              <w:widowControl/>
              <w:jc w:val="center"/>
              <w:rPr>
                <w:rFonts w:hint="default" w:ascii="宋体" w:hAnsi="宋体" w:eastAsia="宋体" w:cs="Arial"/>
                <w:color w:val="000000"/>
                <w:kern w:val="0"/>
                <w:sz w:val="22"/>
                <w:szCs w:val="22"/>
                <w:lang w:val="en-US" w:eastAsia="zh-CN"/>
              </w:rPr>
            </w:pPr>
            <w:r>
              <w:rPr>
                <w:rFonts w:hint="eastAsia" w:ascii="宋体" w:hAnsi="宋体" w:eastAsia="宋体" w:cs="Arial"/>
                <w:color w:val="000000"/>
                <w:kern w:val="0"/>
                <w:sz w:val="22"/>
                <w:szCs w:val="22"/>
              </w:rPr>
              <w:t>0</w:t>
            </w:r>
            <w:r>
              <w:rPr>
                <w:rFonts w:hint="eastAsia" w:ascii="宋体" w:hAnsi="宋体" w:eastAsia="宋体" w:cs="Arial"/>
                <w:color w:val="000000"/>
                <w:kern w:val="0"/>
                <w:sz w:val="22"/>
                <w:szCs w:val="22"/>
                <w:lang w:val="en-US" w:eastAsia="zh-CN"/>
              </w:rPr>
              <w:t>.00</w:t>
            </w:r>
          </w:p>
        </w:tc>
        <w:tc>
          <w:tcPr>
            <w:tcW w:w="1559" w:type="dxa"/>
            <w:vAlign w:val="center"/>
          </w:tcPr>
          <w:p>
            <w:pPr>
              <w:widowControl/>
              <w:jc w:val="center"/>
              <w:rPr>
                <w:rFonts w:hint="default" w:ascii="宋体" w:hAnsi="宋体" w:eastAsia="宋体" w:cs="Arial"/>
                <w:color w:val="000000"/>
                <w:kern w:val="0"/>
                <w:sz w:val="22"/>
                <w:szCs w:val="22"/>
                <w:lang w:val="en-US" w:eastAsia="zh-CN"/>
              </w:rPr>
            </w:pPr>
            <w:r>
              <w:rPr>
                <w:rFonts w:hint="eastAsia" w:ascii="宋体" w:hAnsi="宋体" w:eastAsia="宋体" w:cs="Arial"/>
                <w:color w:val="000000"/>
                <w:kern w:val="0"/>
                <w:sz w:val="22"/>
                <w:szCs w:val="22"/>
              </w:rPr>
              <w:t>0</w:t>
            </w:r>
            <w:r>
              <w:rPr>
                <w:rFonts w:hint="eastAsia" w:ascii="宋体" w:hAnsi="宋体" w:eastAsia="宋体" w:cs="Arial"/>
                <w:color w:val="000000"/>
                <w:kern w:val="0"/>
                <w:sz w:val="22"/>
                <w:szCs w:val="22"/>
                <w:lang w:val="en-US" w:eastAsia="zh-CN"/>
              </w:rPr>
              <w:t>.00</w:t>
            </w:r>
          </w:p>
        </w:tc>
        <w:tc>
          <w:tcPr>
            <w:tcW w:w="1559" w:type="dxa"/>
            <w:vAlign w:val="center"/>
          </w:tcPr>
          <w:p>
            <w:pPr>
              <w:widowControl/>
              <w:jc w:val="center"/>
              <w:rPr>
                <w:rFonts w:hint="default" w:ascii="宋体" w:hAnsi="宋体" w:eastAsia="宋体" w:cs="Arial"/>
                <w:color w:val="000000"/>
                <w:kern w:val="0"/>
                <w:sz w:val="22"/>
                <w:szCs w:val="22"/>
                <w:lang w:val="en-US" w:eastAsia="zh-CN"/>
              </w:rPr>
            </w:pPr>
            <w:r>
              <w:rPr>
                <w:rFonts w:hint="eastAsia" w:ascii="宋体" w:hAnsi="宋体" w:eastAsia="宋体" w:cs="Arial"/>
                <w:color w:val="000000"/>
                <w:kern w:val="0"/>
                <w:sz w:val="22"/>
                <w:szCs w:val="22"/>
              </w:rPr>
              <w:t>0</w:t>
            </w:r>
            <w:r>
              <w:rPr>
                <w:rFonts w:hint="eastAsia" w:ascii="宋体" w:hAnsi="宋体" w:eastAsia="宋体" w:cs="Arial"/>
                <w:color w:val="000000"/>
                <w:kern w:val="0"/>
                <w:sz w:val="22"/>
                <w:szCs w:val="22"/>
                <w:lang w:val="en-US" w:eastAsia="zh-CN"/>
              </w:rPr>
              <w:t>.00</w:t>
            </w:r>
          </w:p>
        </w:tc>
        <w:tc>
          <w:tcPr>
            <w:tcW w:w="733" w:type="dxa"/>
            <w:vAlign w:val="center"/>
          </w:tcPr>
          <w:p>
            <w:pPr>
              <w:widowControl/>
              <w:jc w:val="center"/>
              <w:rPr>
                <w:rFonts w:hint="default" w:ascii="宋体" w:hAnsi="宋体" w:eastAsia="宋体" w:cs="Arial"/>
                <w:color w:val="000000"/>
                <w:kern w:val="0"/>
                <w:sz w:val="22"/>
                <w:szCs w:val="22"/>
                <w:lang w:val="en-US" w:eastAsia="zh-CN"/>
              </w:rPr>
            </w:pPr>
            <w:r>
              <w:rPr>
                <w:rFonts w:hint="eastAsia" w:ascii="宋体" w:hAnsi="宋体" w:eastAsia="宋体" w:cs="Arial"/>
                <w:color w:val="000000"/>
                <w:kern w:val="0"/>
                <w:sz w:val="22"/>
                <w:szCs w:val="22"/>
              </w:rPr>
              <w:t>0</w:t>
            </w:r>
            <w:r>
              <w:rPr>
                <w:rFonts w:hint="eastAsia" w:ascii="宋体" w:hAnsi="宋体" w:eastAsia="宋体" w:cs="Arial"/>
                <w:color w:val="000000"/>
                <w:kern w:val="0"/>
                <w:sz w:val="22"/>
                <w:szCs w:val="22"/>
                <w:lang w:val="en-US" w:eastAsia="zh-CN"/>
              </w:rPr>
              <w:t>.00</w:t>
            </w:r>
          </w:p>
        </w:tc>
        <w:tc>
          <w:tcPr>
            <w:tcW w:w="1677" w:type="dxa"/>
            <w:vAlign w:val="center"/>
          </w:tcPr>
          <w:p>
            <w:pPr>
              <w:widowControl/>
              <w:jc w:val="center"/>
              <w:rPr>
                <w:rFonts w:hint="default" w:ascii="宋体" w:hAnsi="宋体" w:eastAsia="宋体" w:cs="Arial"/>
                <w:color w:val="000000"/>
                <w:kern w:val="0"/>
                <w:sz w:val="22"/>
                <w:szCs w:val="22"/>
                <w:lang w:val="en-US" w:eastAsia="zh-CN"/>
              </w:rPr>
            </w:pPr>
            <w:r>
              <w:rPr>
                <w:rFonts w:hint="eastAsia" w:ascii="宋体" w:hAnsi="宋体" w:eastAsia="宋体" w:cs="Arial"/>
                <w:color w:val="000000"/>
                <w:kern w:val="0"/>
                <w:sz w:val="22"/>
                <w:szCs w:val="22"/>
              </w:rPr>
              <w:t>0</w:t>
            </w:r>
            <w:r>
              <w:rPr>
                <w:rFonts w:hint="eastAsia" w:ascii="宋体" w:hAnsi="宋体" w:eastAsia="宋体" w:cs="Arial"/>
                <w:color w:val="000000"/>
                <w:kern w:val="0"/>
                <w:sz w:val="22"/>
                <w:szCs w:val="22"/>
                <w:lang w:val="en-US" w:eastAsia="zh-CN"/>
              </w:rPr>
              <w:t>.00</w:t>
            </w:r>
          </w:p>
        </w:tc>
        <w:tc>
          <w:tcPr>
            <w:tcW w:w="1559" w:type="dxa"/>
            <w:vAlign w:val="center"/>
          </w:tcPr>
          <w:p>
            <w:pPr>
              <w:widowControl/>
              <w:jc w:val="center"/>
              <w:rPr>
                <w:rFonts w:hint="default" w:ascii="宋体" w:hAnsi="宋体" w:eastAsia="宋体" w:cs="Arial"/>
                <w:color w:val="000000"/>
                <w:kern w:val="0"/>
                <w:sz w:val="22"/>
                <w:szCs w:val="22"/>
                <w:lang w:val="en-US" w:eastAsia="zh-CN"/>
              </w:rPr>
            </w:pPr>
            <w:r>
              <w:rPr>
                <w:rFonts w:hint="eastAsia" w:ascii="宋体" w:hAnsi="宋体" w:eastAsia="宋体" w:cs="Arial"/>
                <w:color w:val="000000"/>
                <w:kern w:val="0"/>
                <w:sz w:val="22"/>
                <w:szCs w:val="22"/>
              </w:rPr>
              <w:t>0</w:t>
            </w:r>
            <w:r>
              <w:rPr>
                <w:rFonts w:hint="eastAsia" w:ascii="宋体" w:hAnsi="宋体" w:eastAsia="宋体" w:cs="Arial"/>
                <w:color w:val="000000"/>
                <w:kern w:val="0"/>
                <w:sz w:val="22"/>
                <w:szCs w:val="22"/>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243" w:type="dxa"/>
            <w:vAlign w:val="center"/>
          </w:tcPr>
          <w:p>
            <w:pPr>
              <w:widowControl/>
              <w:rPr>
                <w:rFonts w:ascii="宋体" w:hAnsi="宋体" w:eastAsia="宋体" w:cs="Arial"/>
                <w:color w:val="000000"/>
                <w:kern w:val="0"/>
                <w:sz w:val="22"/>
                <w:szCs w:val="22"/>
              </w:rPr>
            </w:pPr>
            <w:r>
              <w:rPr>
                <w:rFonts w:hint="eastAsia" w:ascii="宋体" w:hAnsi="宋体" w:eastAsia="宋体" w:cs="Arial"/>
                <w:color w:val="000000"/>
                <w:kern w:val="0"/>
                <w:sz w:val="22"/>
                <w:szCs w:val="22"/>
              </w:rPr>
              <w:t>总计</w:t>
            </w:r>
          </w:p>
        </w:tc>
        <w:tc>
          <w:tcPr>
            <w:tcW w:w="1018" w:type="dxa"/>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2.99</w:t>
            </w:r>
          </w:p>
        </w:tc>
        <w:tc>
          <w:tcPr>
            <w:tcW w:w="1559" w:type="dxa"/>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2.99</w:t>
            </w:r>
          </w:p>
        </w:tc>
        <w:tc>
          <w:tcPr>
            <w:tcW w:w="1559" w:type="dxa"/>
            <w:vAlign w:val="center"/>
          </w:tcPr>
          <w:p>
            <w:pPr>
              <w:widowControl/>
              <w:jc w:val="center"/>
              <w:rPr>
                <w:rFonts w:hint="default" w:ascii="宋体" w:hAnsi="宋体" w:eastAsia="宋体" w:cs="Arial"/>
                <w:color w:val="000000"/>
                <w:kern w:val="0"/>
                <w:sz w:val="22"/>
                <w:szCs w:val="22"/>
                <w:lang w:val="en-US" w:eastAsia="zh-CN"/>
              </w:rPr>
            </w:pPr>
            <w:r>
              <w:rPr>
                <w:rFonts w:hint="eastAsia" w:ascii="宋体" w:hAnsi="宋体" w:eastAsia="宋体" w:cs="Arial"/>
                <w:color w:val="000000"/>
                <w:kern w:val="0"/>
                <w:sz w:val="22"/>
                <w:szCs w:val="22"/>
              </w:rPr>
              <w:t>0</w:t>
            </w:r>
            <w:r>
              <w:rPr>
                <w:rFonts w:hint="eastAsia" w:ascii="宋体" w:hAnsi="宋体" w:eastAsia="宋体" w:cs="Arial"/>
                <w:color w:val="000000"/>
                <w:kern w:val="0"/>
                <w:sz w:val="22"/>
                <w:szCs w:val="22"/>
                <w:lang w:val="en-US" w:eastAsia="zh-CN"/>
              </w:rPr>
              <w:t>.00</w:t>
            </w:r>
          </w:p>
        </w:tc>
        <w:tc>
          <w:tcPr>
            <w:tcW w:w="733" w:type="dxa"/>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2.99</w:t>
            </w:r>
          </w:p>
        </w:tc>
        <w:tc>
          <w:tcPr>
            <w:tcW w:w="1677" w:type="dxa"/>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2.99</w:t>
            </w:r>
          </w:p>
        </w:tc>
        <w:tc>
          <w:tcPr>
            <w:tcW w:w="1559" w:type="dxa"/>
            <w:vAlign w:val="center"/>
          </w:tcPr>
          <w:p>
            <w:pPr>
              <w:widowControl/>
              <w:jc w:val="center"/>
              <w:rPr>
                <w:rFonts w:hint="default" w:ascii="宋体" w:hAnsi="宋体" w:eastAsia="宋体" w:cs="Arial"/>
                <w:color w:val="000000"/>
                <w:kern w:val="0"/>
                <w:sz w:val="22"/>
                <w:szCs w:val="22"/>
                <w:lang w:val="en-US" w:eastAsia="zh-CN"/>
              </w:rPr>
            </w:pPr>
            <w:r>
              <w:rPr>
                <w:rFonts w:hint="eastAsia" w:ascii="宋体" w:hAnsi="宋体" w:eastAsia="宋体" w:cs="Arial"/>
                <w:color w:val="000000"/>
                <w:kern w:val="0"/>
                <w:sz w:val="22"/>
                <w:szCs w:val="22"/>
              </w:rPr>
              <w:t>0</w:t>
            </w:r>
            <w:r>
              <w:rPr>
                <w:rFonts w:hint="eastAsia" w:ascii="宋体" w:hAnsi="宋体" w:eastAsia="宋体" w:cs="Arial"/>
                <w:color w:val="000000"/>
                <w:kern w:val="0"/>
                <w:sz w:val="22"/>
                <w:szCs w:val="22"/>
                <w:lang w:val="en-US" w:eastAsia="zh-CN"/>
              </w:rPr>
              <w:t>.00</w:t>
            </w:r>
          </w:p>
        </w:tc>
      </w:tr>
    </w:tbl>
    <w:p>
      <w:pPr>
        <w:spacing w:line="580" w:lineRule="exact"/>
        <w:rPr>
          <w:rFonts w:ascii="仿宋_GB2312"/>
          <w:b/>
        </w:rPr>
      </w:pPr>
    </w:p>
    <w:p>
      <w:pPr>
        <w:spacing w:line="580" w:lineRule="exact"/>
        <w:ind w:firstLine="640" w:firstLineChars="200"/>
        <w:rPr>
          <w:rFonts w:ascii="楷体" w:hAnsi="楷体" w:eastAsia="楷体"/>
          <w:b/>
        </w:rPr>
      </w:pPr>
      <w:r>
        <w:rPr>
          <w:rFonts w:hint="eastAsia" w:ascii="黑体" w:hAnsi="黑体" w:eastAsia="黑体" w:cs="黑体"/>
          <w:bCs/>
        </w:rPr>
        <w:t>二、2020年度一般公共预算及政府性基金财政拨款“三公”经费支出决算情况说明</w:t>
      </w:r>
    </w:p>
    <w:p>
      <w:pPr>
        <w:ind w:firstLine="643" w:firstLineChars="200"/>
        <w:rPr>
          <w:rFonts w:ascii="仿宋" w:hAnsi="仿宋" w:eastAsia="仿宋"/>
          <w:b/>
        </w:rPr>
      </w:pPr>
      <w:r>
        <w:rPr>
          <w:rFonts w:hint="eastAsia" w:ascii="仿宋" w:hAnsi="仿宋" w:eastAsia="仿宋"/>
          <w:b/>
        </w:rPr>
        <w:t>（一）一般公共预算及政府性基金财政拨款“三公”经费支出决算总体情况说明。</w:t>
      </w:r>
    </w:p>
    <w:p>
      <w:pPr>
        <w:ind w:firstLine="640" w:firstLineChars="200"/>
        <w:rPr>
          <w:rFonts w:ascii="仿宋_GB2312"/>
        </w:rPr>
      </w:pPr>
      <w:r>
        <w:rPr>
          <w:rFonts w:hint="eastAsia" w:ascii="仿宋" w:hAnsi="仿宋" w:eastAsia="仿宋"/>
        </w:rPr>
        <w:t>2020年度一般公共预算及政府性基金财政拨款“三公”经费支出年初预算</w:t>
      </w:r>
      <w:r>
        <w:rPr>
          <w:rFonts w:hint="eastAsia" w:ascii="仿宋_GB2312" w:eastAsia="仿宋"/>
        </w:rPr>
        <w:t>2.99</w:t>
      </w:r>
      <w:r>
        <w:rPr>
          <w:rFonts w:hint="eastAsia" w:ascii="仿宋_GB2312"/>
        </w:rPr>
        <w:t>万元，支出</w:t>
      </w:r>
      <w:r>
        <w:rPr>
          <w:rFonts w:hint="eastAsia" w:ascii="仿宋" w:hAnsi="仿宋" w:eastAsia="仿宋"/>
        </w:rPr>
        <w:t>决算</w:t>
      </w:r>
      <w:r>
        <w:rPr>
          <w:rFonts w:hint="eastAsia" w:ascii="仿宋_GB2312" w:eastAsia="仿宋"/>
        </w:rPr>
        <w:t>2.99</w:t>
      </w:r>
      <w:r>
        <w:rPr>
          <w:rFonts w:hint="eastAsia" w:ascii="仿宋_GB2312"/>
        </w:rPr>
        <w:t>万元，完成年初预算的100</w:t>
      </w:r>
      <w:r>
        <w:rPr>
          <w:rFonts w:hint="eastAsia" w:ascii="仿宋_GB2312"/>
          <w:lang w:val="en-US" w:eastAsia="zh-CN"/>
        </w:rPr>
        <w:t>.00</w:t>
      </w:r>
      <w:r>
        <w:rPr>
          <w:rFonts w:hint="eastAsia" w:ascii="仿宋_GB2312"/>
        </w:rPr>
        <w:t>%。</w:t>
      </w:r>
      <w:r>
        <w:rPr>
          <w:rFonts w:hint="eastAsia" w:ascii="仿宋_GB2312"/>
          <w:lang w:val="en-US" w:eastAsia="zh-CN"/>
        </w:rPr>
        <w:t>决算数与年初预算数持平的主要原因是：</w:t>
      </w:r>
      <w:r>
        <w:rPr>
          <w:rFonts w:hint="eastAsia" w:ascii="仿宋_GB2312"/>
          <w:szCs w:val="32"/>
        </w:rPr>
        <w:t>未安排公务用车购置，仅用于保障</w:t>
      </w:r>
      <w:r>
        <w:rPr>
          <w:rFonts w:hint="eastAsia" w:ascii="仿宋_GB2312"/>
        </w:rPr>
        <w:t>公务用车运行。</w:t>
      </w:r>
      <w:bookmarkStart w:id="1" w:name="_GoBack"/>
      <w:bookmarkEnd w:id="1"/>
    </w:p>
    <w:p>
      <w:pPr>
        <w:ind w:firstLine="643" w:firstLineChars="200"/>
        <w:rPr>
          <w:rFonts w:ascii="仿宋" w:hAnsi="仿宋" w:eastAsia="仿宋"/>
          <w:b/>
        </w:rPr>
      </w:pPr>
      <w:r>
        <w:rPr>
          <w:rFonts w:hint="eastAsia" w:ascii="仿宋" w:hAnsi="仿宋" w:eastAsia="仿宋"/>
          <w:b/>
        </w:rPr>
        <w:t>（二）一般公共预算及政府性基金财政拨款“三公”经费支出决算具体情况说明。</w:t>
      </w:r>
    </w:p>
    <w:p>
      <w:pPr>
        <w:ind w:firstLine="640" w:firstLineChars="200"/>
        <w:rPr>
          <w:rFonts w:ascii="仿宋_GB2312"/>
        </w:rPr>
      </w:pPr>
      <w:r>
        <w:rPr>
          <w:rFonts w:hint="eastAsia" w:ascii="仿宋" w:hAnsi="仿宋" w:eastAsia="仿宋"/>
        </w:rPr>
        <w:t>2020年度一般公共预算及政府性基金财政拨款“三公”经费支出决算中，因公出国（境）费支出决算</w:t>
      </w:r>
      <w:r>
        <w:rPr>
          <w:rFonts w:hint="eastAsia" w:ascii="仿宋_GB2312" w:eastAsia="仿宋"/>
        </w:rPr>
        <w:t>0</w:t>
      </w:r>
      <w:r>
        <w:rPr>
          <w:rFonts w:hint="eastAsia" w:ascii="仿宋_GB2312" w:eastAsia="仿宋"/>
          <w:lang w:val="en-US" w:eastAsia="zh-CN"/>
        </w:rPr>
        <w:t>.00</w:t>
      </w:r>
      <w:r>
        <w:rPr>
          <w:rFonts w:hint="eastAsia" w:ascii="仿宋_GB2312"/>
        </w:rPr>
        <w:t>万元，占0</w:t>
      </w:r>
      <w:r>
        <w:rPr>
          <w:rFonts w:hint="eastAsia" w:ascii="仿宋_GB2312"/>
          <w:lang w:val="en-US" w:eastAsia="zh-CN"/>
        </w:rPr>
        <w:t>.00</w:t>
      </w:r>
      <w:r>
        <w:rPr>
          <w:rFonts w:hint="eastAsia" w:ascii="仿宋_GB2312"/>
        </w:rPr>
        <w:t>%；公务接待费支出决算0</w:t>
      </w:r>
      <w:r>
        <w:rPr>
          <w:rFonts w:hint="eastAsia" w:ascii="仿宋_GB2312"/>
          <w:lang w:val="en-US" w:eastAsia="zh-CN"/>
        </w:rPr>
        <w:t>.00</w:t>
      </w:r>
      <w:r>
        <w:rPr>
          <w:rFonts w:hint="eastAsia" w:ascii="仿宋_GB2312"/>
        </w:rPr>
        <w:t>万元，占0</w:t>
      </w:r>
      <w:r>
        <w:rPr>
          <w:rFonts w:hint="eastAsia" w:ascii="仿宋_GB2312"/>
          <w:lang w:val="en-US" w:eastAsia="zh-CN"/>
        </w:rPr>
        <w:t>.00</w:t>
      </w:r>
      <w:r>
        <w:rPr>
          <w:rFonts w:hint="eastAsia" w:ascii="仿宋_GB2312"/>
        </w:rPr>
        <w:t>%；公务用车购置及运行费支出决算2.99万元，占100</w:t>
      </w:r>
      <w:r>
        <w:rPr>
          <w:rFonts w:hint="eastAsia" w:ascii="仿宋_GB2312"/>
          <w:lang w:val="en-US" w:eastAsia="zh-CN"/>
        </w:rPr>
        <w:t>.00</w:t>
      </w:r>
      <w:r>
        <w:rPr>
          <w:rFonts w:hint="eastAsia" w:ascii="仿宋_GB2312"/>
        </w:rPr>
        <w:t>%。具体情况如下：</w:t>
      </w:r>
    </w:p>
    <w:p>
      <w:pPr>
        <w:ind w:firstLine="643" w:firstLineChars="200"/>
        <w:rPr>
          <w:rFonts w:ascii="仿宋_GB2312"/>
          <w:b/>
        </w:rPr>
      </w:pPr>
      <w:r>
        <w:rPr>
          <w:rFonts w:hint="eastAsia" w:ascii="仿宋_GB2312"/>
          <w:b/>
          <w:bCs/>
        </w:rPr>
        <w:t>1.因公出国（境）费支出</w:t>
      </w:r>
      <w:r>
        <w:rPr>
          <w:rFonts w:hint="eastAsia" w:ascii="仿宋_GB2312"/>
        </w:rPr>
        <w:t>决算0</w:t>
      </w:r>
      <w:r>
        <w:rPr>
          <w:rFonts w:hint="eastAsia" w:ascii="仿宋_GB2312"/>
          <w:lang w:val="en-US" w:eastAsia="zh-CN"/>
        </w:rPr>
        <w:t>.00</w:t>
      </w:r>
      <w:r>
        <w:rPr>
          <w:rFonts w:hint="eastAsia" w:ascii="仿宋_GB2312"/>
        </w:rPr>
        <w:t>万元，与2020年度预算相比持平，持平的原因是</w:t>
      </w:r>
      <w:r>
        <w:rPr>
          <w:rFonts w:hint="eastAsia" w:ascii="仿宋_GB2312"/>
          <w:szCs w:val="32"/>
        </w:rPr>
        <w:t>未安排</w:t>
      </w:r>
      <w:r>
        <w:rPr>
          <w:rFonts w:hint="eastAsia" w:ascii="仿宋_GB2312"/>
        </w:rPr>
        <w:t>因公</w:t>
      </w:r>
      <w:r>
        <w:rPr>
          <w:rFonts w:hint="eastAsia" w:ascii="仿宋_GB2312"/>
          <w:szCs w:val="32"/>
        </w:rPr>
        <w:t>出国（境）费预算</w:t>
      </w:r>
      <w:r>
        <w:rPr>
          <w:rFonts w:hint="eastAsia" w:ascii="仿宋_GB2312"/>
        </w:rPr>
        <w:t>。经费使用根据市外办批准的因公临时出国(境)计划，严格执行《合肥市市直党政机关因公临时出国经费管理办法》（合政办〔2014〕8号）、《关于转发</w:t>
      </w:r>
      <w:r>
        <w:rPr>
          <w:rFonts w:hint="eastAsia" w:ascii="仿宋" w:hAnsi="仿宋" w:eastAsia="仿宋"/>
        </w:rPr>
        <w:t>〈安徽省省直党政机关因公短期出国培训费用管理办法〉的通知</w:t>
      </w:r>
      <w:r>
        <w:rPr>
          <w:rFonts w:hint="eastAsia" w:ascii="仿宋_GB2312"/>
        </w:rPr>
        <w:t>》（合财行〔2014〕944号）等相关规定。2020年，参加（组织）因公出国（境）团组0个，0人次。</w:t>
      </w:r>
    </w:p>
    <w:p>
      <w:pPr>
        <w:ind w:firstLine="643" w:firstLineChars="200"/>
        <w:rPr>
          <w:rFonts w:ascii="仿宋_GB2312"/>
        </w:rPr>
      </w:pPr>
      <w:r>
        <w:rPr>
          <w:rFonts w:hint="eastAsia" w:ascii="仿宋_GB2312"/>
          <w:b/>
          <w:bCs/>
        </w:rPr>
        <w:t>2.公务接待费支出</w:t>
      </w:r>
      <w:r>
        <w:rPr>
          <w:rFonts w:hint="eastAsia" w:ascii="仿宋_GB2312"/>
        </w:rPr>
        <w:t>决算0</w:t>
      </w:r>
      <w:r>
        <w:rPr>
          <w:rFonts w:hint="eastAsia" w:ascii="仿宋_GB2312"/>
          <w:lang w:val="en-US" w:eastAsia="zh-CN"/>
        </w:rPr>
        <w:t>.00</w:t>
      </w:r>
      <w:r>
        <w:rPr>
          <w:rFonts w:hint="eastAsia" w:ascii="仿宋_GB2312"/>
        </w:rPr>
        <w:t>万元，与2020年度预算相比持平，持平的原因是</w:t>
      </w:r>
      <w:r>
        <w:rPr>
          <w:rFonts w:hint="eastAsia" w:ascii="仿宋_GB2312"/>
          <w:szCs w:val="32"/>
        </w:rPr>
        <w:t>未安排公务接待费预算</w:t>
      </w:r>
      <w:r>
        <w:rPr>
          <w:rFonts w:hint="eastAsia" w:ascii="仿宋_GB2312"/>
        </w:rPr>
        <w:t>。经费使用严格执行《党政机关厉行节约反对浪费条例》、《合肥市市直机关公务接待费管理暂行办法》（合财行〔2015〕64号）等相关规定。2020年，国内公务接待共0批，0人次（其中：外事接待共0批，0人次）（不包括陪同人员）。</w:t>
      </w:r>
    </w:p>
    <w:p>
      <w:pPr>
        <w:ind w:firstLine="643" w:firstLineChars="200"/>
        <w:rPr>
          <w:rFonts w:ascii="仿宋_GB2312"/>
        </w:rPr>
      </w:pPr>
      <w:r>
        <w:rPr>
          <w:rFonts w:hint="eastAsia" w:ascii="仿宋_GB2312"/>
          <w:b/>
          <w:bCs/>
        </w:rPr>
        <w:t>3.公务用车购置及运行费支出</w:t>
      </w:r>
      <w:r>
        <w:rPr>
          <w:rFonts w:hint="eastAsia" w:ascii="仿宋_GB2312"/>
        </w:rPr>
        <w:t>决算2.99万元，与2020年度预算相比持平，持平的原因是</w:t>
      </w:r>
      <w:r>
        <w:rPr>
          <w:rFonts w:hint="eastAsia" w:ascii="仿宋_GB2312"/>
          <w:szCs w:val="32"/>
        </w:rPr>
        <w:t>未安排公务用车购置，仅用于保障</w:t>
      </w:r>
      <w:r>
        <w:rPr>
          <w:rFonts w:hint="eastAsia" w:ascii="仿宋_GB2312"/>
        </w:rPr>
        <w:t>公务用车运行。主要用于</w:t>
      </w:r>
      <w:r>
        <w:rPr>
          <w:rFonts w:hint="eastAsia" w:ascii="仿宋_GB2312"/>
          <w:szCs w:val="32"/>
        </w:rPr>
        <w:t>车辆燃料费、维修费、过路过桥费、保险费、保障日常公务需要等支出</w:t>
      </w:r>
      <w:r>
        <w:rPr>
          <w:rFonts w:hint="eastAsia" w:ascii="仿宋_GB2312"/>
        </w:rPr>
        <w:t>。其中：</w:t>
      </w:r>
    </w:p>
    <w:p>
      <w:pPr>
        <w:ind w:firstLine="640" w:firstLineChars="200"/>
        <w:rPr>
          <w:rFonts w:ascii="仿宋_GB2312" w:cs="仿宋_GB2312"/>
          <w:b/>
        </w:rPr>
      </w:pPr>
      <w:r>
        <w:rPr>
          <w:rFonts w:hint="eastAsia" w:ascii="仿宋_GB2312"/>
        </w:rPr>
        <w:t>公务用车运行维护费支出决算2.99万元</w:t>
      </w:r>
      <w:r>
        <w:rPr>
          <w:rFonts w:hint="eastAsia" w:ascii="仿宋" w:hAnsi="仿宋" w:eastAsia="仿宋"/>
        </w:rPr>
        <w:t>，</w:t>
      </w:r>
      <w:r>
        <w:rPr>
          <w:rFonts w:hint="eastAsia" w:ascii="仿宋_GB2312"/>
        </w:rPr>
        <w:t>与2020年度预算相比持平，持平的原因是</w:t>
      </w:r>
      <w:r>
        <w:rPr>
          <w:rFonts w:hint="eastAsia" w:ascii="仿宋_GB2312"/>
          <w:szCs w:val="32"/>
        </w:rPr>
        <w:t>仅用于保障</w:t>
      </w:r>
      <w:r>
        <w:rPr>
          <w:rFonts w:hint="eastAsia" w:ascii="仿宋_GB2312"/>
        </w:rPr>
        <w:t>公务用车运行。主要用于</w:t>
      </w:r>
      <w:r>
        <w:rPr>
          <w:rFonts w:hint="eastAsia" w:ascii="仿宋_GB2312"/>
          <w:szCs w:val="32"/>
        </w:rPr>
        <w:t>车辆燃料费、维修费、过路过桥费、保险费、保障日常公务需要等支出</w:t>
      </w:r>
      <w:r>
        <w:rPr>
          <w:rFonts w:hint="eastAsia" w:ascii="仿宋_GB2312"/>
        </w:rPr>
        <w:t>。截止2020年12月31日，合肥市第三十八中学及合肥市第三十八中学个下属单位一般公共预算及政府性基金财政拨款开支的公务用车保有数为1辆。</w:t>
      </w:r>
    </w:p>
    <w:p>
      <w:pPr>
        <w:ind w:firstLine="640" w:firstLineChars="200"/>
        <w:rPr>
          <w:rFonts w:ascii="仿宋_GB2312"/>
        </w:rPr>
      </w:pPr>
      <w:r>
        <w:rPr>
          <w:rFonts w:hint="eastAsia" w:ascii="仿宋_GB2312"/>
        </w:rPr>
        <w:t>公务用车购置费支出决算0</w:t>
      </w:r>
      <w:r>
        <w:rPr>
          <w:rFonts w:hint="eastAsia" w:ascii="仿宋_GB2312"/>
          <w:lang w:val="en-US" w:eastAsia="zh-CN"/>
        </w:rPr>
        <w:t>.00</w:t>
      </w:r>
      <w:r>
        <w:rPr>
          <w:rFonts w:hint="eastAsia" w:ascii="仿宋_GB2312"/>
        </w:rPr>
        <w:t>万元，与2020年度预算相比持平，持平的原因是</w:t>
      </w:r>
      <w:r>
        <w:rPr>
          <w:rFonts w:hint="eastAsia" w:ascii="仿宋_GB2312"/>
          <w:szCs w:val="32"/>
        </w:rPr>
        <w:t>未安排公务用车购置</w:t>
      </w:r>
      <w:r>
        <w:rPr>
          <w:rFonts w:hint="eastAsia" w:ascii="仿宋_GB2312"/>
        </w:rPr>
        <w:t>。2020年，购置</w:t>
      </w:r>
      <w:r>
        <w:rPr>
          <w:rFonts w:hint="eastAsia" w:ascii="仿宋_GB2312" w:hAnsi="仿宋"/>
          <w:szCs w:val="32"/>
        </w:rPr>
        <w:t>公务用车</w:t>
      </w:r>
      <w:r>
        <w:rPr>
          <w:rFonts w:hint="eastAsia" w:ascii="仿宋_GB2312"/>
        </w:rPr>
        <w:t>0台。</w:t>
      </w:r>
    </w:p>
    <w:bookmarkEnd w:id="0"/>
    <w:p>
      <w:pPr>
        <w:ind w:firstLine="560" w:firstLineChars="200"/>
        <w:rPr>
          <w:rFonts w:ascii="宋体" w:hAnsi="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宋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D8E"/>
    <w:rsid w:val="0000127F"/>
    <w:rsid w:val="00002072"/>
    <w:rsid w:val="00002CBD"/>
    <w:rsid w:val="00003FC4"/>
    <w:rsid w:val="00004A93"/>
    <w:rsid w:val="00004D71"/>
    <w:rsid w:val="00005CA1"/>
    <w:rsid w:val="00005CC3"/>
    <w:rsid w:val="00006320"/>
    <w:rsid w:val="000068EF"/>
    <w:rsid w:val="000073ED"/>
    <w:rsid w:val="0000783A"/>
    <w:rsid w:val="00011520"/>
    <w:rsid w:val="00013415"/>
    <w:rsid w:val="00013CC6"/>
    <w:rsid w:val="000146F3"/>
    <w:rsid w:val="00014A1F"/>
    <w:rsid w:val="0001506C"/>
    <w:rsid w:val="000154FA"/>
    <w:rsid w:val="00016A3B"/>
    <w:rsid w:val="00017232"/>
    <w:rsid w:val="00020BA0"/>
    <w:rsid w:val="000212D4"/>
    <w:rsid w:val="00021839"/>
    <w:rsid w:val="00021DC5"/>
    <w:rsid w:val="00023DC8"/>
    <w:rsid w:val="00024BD3"/>
    <w:rsid w:val="00024DD4"/>
    <w:rsid w:val="000272A8"/>
    <w:rsid w:val="0002764C"/>
    <w:rsid w:val="000316D3"/>
    <w:rsid w:val="00031B54"/>
    <w:rsid w:val="0003237D"/>
    <w:rsid w:val="000326F4"/>
    <w:rsid w:val="00032BC5"/>
    <w:rsid w:val="00032FD4"/>
    <w:rsid w:val="0003310D"/>
    <w:rsid w:val="00033595"/>
    <w:rsid w:val="0003391A"/>
    <w:rsid w:val="00034610"/>
    <w:rsid w:val="00034ADD"/>
    <w:rsid w:val="00034F1A"/>
    <w:rsid w:val="00036B5E"/>
    <w:rsid w:val="00037825"/>
    <w:rsid w:val="000378EE"/>
    <w:rsid w:val="00037AA0"/>
    <w:rsid w:val="0004175F"/>
    <w:rsid w:val="0004417C"/>
    <w:rsid w:val="0004440B"/>
    <w:rsid w:val="00046A34"/>
    <w:rsid w:val="00050639"/>
    <w:rsid w:val="00051483"/>
    <w:rsid w:val="000515E3"/>
    <w:rsid w:val="00052A28"/>
    <w:rsid w:val="000530FA"/>
    <w:rsid w:val="00054694"/>
    <w:rsid w:val="000547EB"/>
    <w:rsid w:val="000564B8"/>
    <w:rsid w:val="00057660"/>
    <w:rsid w:val="00060624"/>
    <w:rsid w:val="00063642"/>
    <w:rsid w:val="00066D98"/>
    <w:rsid w:val="00066EEA"/>
    <w:rsid w:val="0007002D"/>
    <w:rsid w:val="00070B54"/>
    <w:rsid w:val="000719BE"/>
    <w:rsid w:val="00071AC1"/>
    <w:rsid w:val="00072284"/>
    <w:rsid w:val="00072699"/>
    <w:rsid w:val="00073B20"/>
    <w:rsid w:val="00075D99"/>
    <w:rsid w:val="00077750"/>
    <w:rsid w:val="00077E2F"/>
    <w:rsid w:val="0008050E"/>
    <w:rsid w:val="000812A6"/>
    <w:rsid w:val="0008155F"/>
    <w:rsid w:val="000824E4"/>
    <w:rsid w:val="000826DB"/>
    <w:rsid w:val="000827BC"/>
    <w:rsid w:val="000827F5"/>
    <w:rsid w:val="0008366D"/>
    <w:rsid w:val="000839B3"/>
    <w:rsid w:val="000844D9"/>
    <w:rsid w:val="00084DFA"/>
    <w:rsid w:val="00085111"/>
    <w:rsid w:val="00086A56"/>
    <w:rsid w:val="00086A5D"/>
    <w:rsid w:val="0008720D"/>
    <w:rsid w:val="00087981"/>
    <w:rsid w:val="0009234A"/>
    <w:rsid w:val="00092467"/>
    <w:rsid w:val="00092A7C"/>
    <w:rsid w:val="000948A3"/>
    <w:rsid w:val="00094ED0"/>
    <w:rsid w:val="000A0BB6"/>
    <w:rsid w:val="000A14E0"/>
    <w:rsid w:val="000A1FA5"/>
    <w:rsid w:val="000A2F02"/>
    <w:rsid w:val="000A3DA7"/>
    <w:rsid w:val="000A41DF"/>
    <w:rsid w:val="000A4340"/>
    <w:rsid w:val="000A553D"/>
    <w:rsid w:val="000A6A62"/>
    <w:rsid w:val="000B1C13"/>
    <w:rsid w:val="000B31AC"/>
    <w:rsid w:val="000B32AE"/>
    <w:rsid w:val="000B39B6"/>
    <w:rsid w:val="000B4A5F"/>
    <w:rsid w:val="000B56D7"/>
    <w:rsid w:val="000C0E50"/>
    <w:rsid w:val="000C10B5"/>
    <w:rsid w:val="000C1283"/>
    <w:rsid w:val="000C1E3F"/>
    <w:rsid w:val="000C24A8"/>
    <w:rsid w:val="000C252E"/>
    <w:rsid w:val="000C27BE"/>
    <w:rsid w:val="000C3C5B"/>
    <w:rsid w:val="000C45C8"/>
    <w:rsid w:val="000C4944"/>
    <w:rsid w:val="000C69F9"/>
    <w:rsid w:val="000C7AD0"/>
    <w:rsid w:val="000D58E4"/>
    <w:rsid w:val="000D6B7B"/>
    <w:rsid w:val="000D7A19"/>
    <w:rsid w:val="000D7F4C"/>
    <w:rsid w:val="000E1939"/>
    <w:rsid w:val="000E2202"/>
    <w:rsid w:val="000E3D56"/>
    <w:rsid w:val="000E417D"/>
    <w:rsid w:val="000E57E6"/>
    <w:rsid w:val="000E6339"/>
    <w:rsid w:val="000E6C78"/>
    <w:rsid w:val="000E7773"/>
    <w:rsid w:val="000F0AA1"/>
    <w:rsid w:val="000F0D38"/>
    <w:rsid w:val="000F0E11"/>
    <w:rsid w:val="000F15C6"/>
    <w:rsid w:val="000F1A9E"/>
    <w:rsid w:val="000F1B56"/>
    <w:rsid w:val="000F1C4A"/>
    <w:rsid w:val="000F20BF"/>
    <w:rsid w:val="000F306E"/>
    <w:rsid w:val="000F3244"/>
    <w:rsid w:val="000F365A"/>
    <w:rsid w:val="000F369F"/>
    <w:rsid w:val="000F4A81"/>
    <w:rsid w:val="000F788A"/>
    <w:rsid w:val="001008E2"/>
    <w:rsid w:val="001011B6"/>
    <w:rsid w:val="001015FD"/>
    <w:rsid w:val="001032B8"/>
    <w:rsid w:val="00105712"/>
    <w:rsid w:val="00110049"/>
    <w:rsid w:val="00110195"/>
    <w:rsid w:val="00110C69"/>
    <w:rsid w:val="00114243"/>
    <w:rsid w:val="00116BF2"/>
    <w:rsid w:val="00116D39"/>
    <w:rsid w:val="00116FA4"/>
    <w:rsid w:val="00117C19"/>
    <w:rsid w:val="0012283E"/>
    <w:rsid w:val="00126307"/>
    <w:rsid w:val="00127C85"/>
    <w:rsid w:val="001300DD"/>
    <w:rsid w:val="001321AA"/>
    <w:rsid w:val="00132FAC"/>
    <w:rsid w:val="00133C04"/>
    <w:rsid w:val="0014112F"/>
    <w:rsid w:val="00141160"/>
    <w:rsid w:val="00141AB7"/>
    <w:rsid w:val="00142617"/>
    <w:rsid w:val="00143AB9"/>
    <w:rsid w:val="001440D4"/>
    <w:rsid w:val="00144299"/>
    <w:rsid w:val="00147035"/>
    <w:rsid w:val="00147620"/>
    <w:rsid w:val="0015261B"/>
    <w:rsid w:val="001531F2"/>
    <w:rsid w:val="0015343B"/>
    <w:rsid w:val="0015347F"/>
    <w:rsid w:val="00153C68"/>
    <w:rsid w:val="001615D6"/>
    <w:rsid w:val="00161779"/>
    <w:rsid w:val="00162147"/>
    <w:rsid w:val="001622B9"/>
    <w:rsid w:val="00163247"/>
    <w:rsid w:val="0016392A"/>
    <w:rsid w:val="00165650"/>
    <w:rsid w:val="0016570F"/>
    <w:rsid w:val="00166075"/>
    <w:rsid w:val="00166ADC"/>
    <w:rsid w:val="0016796C"/>
    <w:rsid w:val="0017057E"/>
    <w:rsid w:val="001719A3"/>
    <w:rsid w:val="001731AE"/>
    <w:rsid w:val="00173DFF"/>
    <w:rsid w:val="00174252"/>
    <w:rsid w:val="00174FA2"/>
    <w:rsid w:val="00175391"/>
    <w:rsid w:val="001756CC"/>
    <w:rsid w:val="00176EDD"/>
    <w:rsid w:val="00182378"/>
    <w:rsid w:val="001834D4"/>
    <w:rsid w:val="00184CBD"/>
    <w:rsid w:val="00186AB5"/>
    <w:rsid w:val="00186E1F"/>
    <w:rsid w:val="001903DC"/>
    <w:rsid w:val="00191A8D"/>
    <w:rsid w:val="0019274B"/>
    <w:rsid w:val="001927C3"/>
    <w:rsid w:val="00192ADD"/>
    <w:rsid w:val="00193DA5"/>
    <w:rsid w:val="001972F6"/>
    <w:rsid w:val="001A0B2D"/>
    <w:rsid w:val="001A2DA7"/>
    <w:rsid w:val="001A3347"/>
    <w:rsid w:val="001A47A2"/>
    <w:rsid w:val="001A501A"/>
    <w:rsid w:val="001A5074"/>
    <w:rsid w:val="001A5F68"/>
    <w:rsid w:val="001A6469"/>
    <w:rsid w:val="001A6A78"/>
    <w:rsid w:val="001A6C48"/>
    <w:rsid w:val="001A6EAC"/>
    <w:rsid w:val="001B032B"/>
    <w:rsid w:val="001B1C4F"/>
    <w:rsid w:val="001B2464"/>
    <w:rsid w:val="001B3CE8"/>
    <w:rsid w:val="001B4D94"/>
    <w:rsid w:val="001B51D6"/>
    <w:rsid w:val="001B6665"/>
    <w:rsid w:val="001C0636"/>
    <w:rsid w:val="001C239A"/>
    <w:rsid w:val="001C29BD"/>
    <w:rsid w:val="001C2C91"/>
    <w:rsid w:val="001C2F2D"/>
    <w:rsid w:val="001C3C11"/>
    <w:rsid w:val="001C46BB"/>
    <w:rsid w:val="001C4965"/>
    <w:rsid w:val="001C51EE"/>
    <w:rsid w:val="001C57C0"/>
    <w:rsid w:val="001C5C12"/>
    <w:rsid w:val="001D17EF"/>
    <w:rsid w:val="001D26B4"/>
    <w:rsid w:val="001D4CE8"/>
    <w:rsid w:val="001D4F9A"/>
    <w:rsid w:val="001D6140"/>
    <w:rsid w:val="001D667A"/>
    <w:rsid w:val="001D687E"/>
    <w:rsid w:val="001E04AF"/>
    <w:rsid w:val="001E0FD0"/>
    <w:rsid w:val="001E2314"/>
    <w:rsid w:val="001E50A5"/>
    <w:rsid w:val="001E5EF2"/>
    <w:rsid w:val="001E6419"/>
    <w:rsid w:val="001E6D3E"/>
    <w:rsid w:val="001E738E"/>
    <w:rsid w:val="001F0042"/>
    <w:rsid w:val="001F0F22"/>
    <w:rsid w:val="001F30E2"/>
    <w:rsid w:val="001F39DC"/>
    <w:rsid w:val="001F3FBF"/>
    <w:rsid w:val="001F5220"/>
    <w:rsid w:val="001F5CE1"/>
    <w:rsid w:val="001F61C4"/>
    <w:rsid w:val="001F6D8E"/>
    <w:rsid w:val="001F7A59"/>
    <w:rsid w:val="00201AE3"/>
    <w:rsid w:val="0020232A"/>
    <w:rsid w:val="00204B90"/>
    <w:rsid w:val="00204B9A"/>
    <w:rsid w:val="00204FD9"/>
    <w:rsid w:val="00204FF3"/>
    <w:rsid w:val="00205FCB"/>
    <w:rsid w:val="00206573"/>
    <w:rsid w:val="002124E5"/>
    <w:rsid w:val="002128C6"/>
    <w:rsid w:val="00213247"/>
    <w:rsid w:val="0021333B"/>
    <w:rsid w:val="00213CE8"/>
    <w:rsid w:val="002143AC"/>
    <w:rsid w:val="002159C3"/>
    <w:rsid w:val="002159E4"/>
    <w:rsid w:val="00215C58"/>
    <w:rsid w:val="00215E32"/>
    <w:rsid w:val="00217B54"/>
    <w:rsid w:val="002220B8"/>
    <w:rsid w:val="0022229C"/>
    <w:rsid w:val="002241E2"/>
    <w:rsid w:val="00224D50"/>
    <w:rsid w:val="00226239"/>
    <w:rsid w:val="00226AD6"/>
    <w:rsid w:val="0022706B"/>
    <w:rsid w:val="00230333"/>
    <w:rsid w:val="0023083C"/>
    <w:rsid w:val="00232DA0"/>
    <w:rsid w:val="0023366D"/>
    <w:rsid w:val="00233AB4"/>
    <w:rsid w:val="0023423B"/>
    <w:rsid w:val="00235519"/>
    <w:rsid w:val="00243F17"/>
    <w:rsid w:val="002441BE"/>
    <w:rsid w:val="00244764"/>
    <w:rsid w:val="00245AC0"/>
    <w:rsid w:val="0025097B"/>
    <w:rsid w:val="00255A24"/>
    <w:rsid w:val="00256906"/>
    <w:rsid w:val="002571A7"/>
    <w:rsid w:val="002577DC"/>
    <w:rsid w:val="00260490"/>
    <w:rsid w:val="00261183"/>
    <w:rsid w:val="00261463"/>
    <w:rsid w:val="00262A62"/>
    <w:rsid w:val="002657C9"/>
    <w:rsid w:val="002678F8"/>
    <w:rsid w:val="00270AF9"/>
    <w:rsid w:val="00270F1B"/>
    <w:rsid w:val="002717FA"/>
    <w:rsid w:val="002718F4"/>
    <w:rsid w:val="00272567"/>
    <w:rsid w:val="00273354"/>
    <w:rsid w:val="0027343E"/>
    <w:rsid w:val="00273A4B"/>
    <w:rsid w:val="00273DC2"/>
    <w:rsid w:val="00273E5C"/>
    <w:rsid w:val="00274323"/>
    <w:rsid w:val="00274872"/>
    <w:rsid w:val="00275083"/>
    <w:rsid w:val="00275CF6"/>
    <w:rsid w:val="00276874"/>
    <w:rsid w:val="00276958"/>
    <w:rsid w:val="002778D4"/>
    <w:rsid w:val="002803E7"/>
    <w:rsid w:val="00280EB2"/>
    <w:rsid w:val="00283616"/>
    <w:rsid w:val="00283E9C"/>
    <w:rsid w:val="00285DBA"/>
    <w:rsid w:val="00287185"/>
    <w:rsid w:val="0028779B"/>
    <w:rsid w:val="00287B23"/>
    <w:rsid w:val="002902EC"/>
    <w:rsid w:val="00292C20"/>
    <w:rsid w:val="00293E21"/>
    <w:rsid w:val="00293F44"/>
    <w:rsid w:val="002941EC"/>
    <w:rsid w:val="0029714B"/>
    <w:rsid w:val="002A022D"/>
    <w:rsid w:val="002A0675"/>
    <w:rsid w:val="002A25C1"/>
    <w:rsid w:val="002A4BDF"/>
    <w:rsid w:val="002A5A86"/>
    <w:rsid w:val="002A7094"/>
    <w:rsid w:val="002A7956"/>
    <w:rsid w:val="002A79C8"/>
    <w:rsid w:val="002A7CAD"/>
    <w:rsid w:val="002B0C41"/>
    <w:rsid w:val="002B1B81"/>
    <w:rsid w:val="002B47CE"/>
    <w:rsid w:val="002B4ABB"/>
    <w:rsid w:val="002B4C60"/>
    <w:rsid w:val="002B4D44"/>
    <w:rsid w:val="002B6EBB"/>
    <w:rsid w:val="002B7EAD"/>
    <w:rsid w:val="002C0A1C"/>
    <w:rsid w:val="002C2B1C"/>
    <w:rsid w:val="002C3C47"/>
    <w:rsid w:val="002C4011"/>
    <w:rsid w:val="002C5199"/>
    <w:rsid w:val="002C543E"/>
    <w:rsid w:val="002C5D56"/>
    <w:rsid w:val="002D01E7"/>
    <w:rsid w:val="002D08A5"/>
    <w:rsid w:val="002D1D21"/>
    <w:rsid w:val="002D21B7"/>
    <w:rsid w:val="002D2F97"/>
    <w:rsid w:val="002D37D5"/>
    <w:rsid w:val="002D388C"/>
    <w:rsid w:val="002D45F0"/>
    <w:rsid w:val="002D62C0"/>
    <w:rsid w:val="002D70A4"/>
    <w:rsid w:val="002E049E"/>
    <w:rsid w:val="002E0FF0"/>
    <w:rsid w:val="002E55D6"/>
    <w:rsid w:val="002F0317"/>
    <w:rsid w:val="002F261D"/>
    <w:rsid w:val="002F4776"/>
    <w:rsid w:val="002F4B97"/>
    <w:rsid w:val="002F4F85"/>
    <w:rsid w:val="002F538E"/>
    <w:rsid w:val="002F5D08"/>
    <w:rsid w:val="0030023A"/>
    <w:rsid w:val="003011BA"/>
    <w:rsid w:val="003030A5"/>
    <w:rsid w:val="00304CEE"/>
    <w:rsid w:val="00305A75"/>
    <w:rsid w:val="00306597"/>
    <w:rsid w:val="003074A5"/>
    <w:rsid w:val="003113A7"/>
    <w:rsid w:val="00312994"/>
    <w:rsid w:val="00313E7D"/>
    <w:rsid w:val="00316035"/>
    <w:rsid w:val="003164B2"/>
    <w:rsid w:val="0031650B"/>
    <w:rsid w:val="00317735"/>
    <w:rsid w:val="003179EF"/>
    <w:rsid w:val="00321B1F"/>
    <w:rsid w:val="00322996"/>
    <w:rsid w:val="00323C89"/>
    <w:rsid w:val="003257D3"/>
    <w:rsid w:val="00325877"/>
    <w:rsid w:val="00325C95"/>
    <w:rsid w:val="00326497"/>
    <w:rsid w:val="00326C94"/>
    <w:rsid w:val="0033163F"/>
    <w:rsid w:val="00331CD8"/>
    <w:rsid w:val="003333FC"/>
    <w:rsid w:val="003354F3"/>
    <w:rsid w:val="00335BDD"/>
    <w:rsid w:val="00336A8C"/>
    <w:rsid w:val="00340B66"/>
    <w:rsid w:val="00341CF8"/>
    <w:rsid w:val="00341D5B"/>
    <w:rsid w:val="00342088"/>
    <w:rsid w:val="0034356D"/>
    <w:rsid w:val="00343967"/>
    <w:rsid w:val="00350645"/>
    <w:rsid w:val="0035127B"/>
    <w:rsid w:val="00351313"/>
    <w:rsid w:val="0035190C"/>
    <w:rsid w:val="00351C39"/>
    <w:rsid w:val="0035475B"/>
    <w:rsid w:val="003552CE"/>
    <w:rsid w:val="0035712E"/>
    <w:rsid w:val="00360726"/>
    <w:rsid w:val="00362A31"/>
    <w:rsid w:val="00362C43"/>
    <w:rsid w:val="00365A1A"/>
    <w:rsid w:val="00366890"/>
    <w:rsid w:val="00366B72"/>
    <w:rsid w:val="00366F64"/>
    <w:rsid w:val="003675A8"/>
    <w:rsid w:val="003702F3"/>
    <w:rsid w:val="0037033F"/>
    <w:rsid w:val="003707A6"/>
    <w:rsid w:val="0037253E"/>
    <w:rsid w:val="003766F6"/>
    <w:rsid w:val="00376ABD"/>
    <w:rsid w:val="00377CA8"/>
    <w:rsid w:val="00381339"/>
    <w:rsid w:val="00383BEE"/>
    <w:rsid w:val="00383DE8"/>
    <w:rsid w:val="00385293"/>
    <w:rsid w:val="0038549D"/>
    <w:rsid w:val="00385785"/>
    <w:rsid w:val="00385B8B"/>
    <w:rsid w:val="00387419"/>
    <w:rsid w:val="00390CD8"/>
    <w:rsid w:val="00391D45"/>
    <w:rsid w:val="003925C3"/>
    <w:rsid w:val="00393077"/>
    <w:rsid w:val="003937AE"/>
    <w:rsid w:val="00393D6B"/>
    <w:rsid w:val="00395667"/>
    <w:rsid w:val="003956EB"/>
    <w:rsid w:val="0039587D"/>
    <w:rsid w:val="00395913"/>
    <w:rsid w:val="003A119A"/>
    <w:rsid w:val="003A2164"/>
    <w:rsid w:val="003A3840"/>
    <w:rsid w:val="003A3E79"/>
    <w:rsid w:val="003A4467"/>
    <w:rsid w:val="003A46F5"/>
    <w:rsid w:val="003A7DB6"/>
    <w:rsid w:val="003B0314"/>
    <w:rsid w:val="003B10C2"/>
    <w:rsid w:val="003B123A"/>
    <w:rsid w:val="003B199C"/>
    <w:rsid w:val="003B297A"/>
    <w:rsid w:val="003B2DBD"/>
    <w:rsid w:val="003B38EC"/>
    <w:rsid w:val="003B3FC1"/>
    <w:rsid w:val="003B52D2"/>
    <w:rsid w:val="003B5AA4"/>
    <w:rsid w:val="003B5C9D"/>
    <w:rsid w:val="003B66F9"/>
    <w:rsid w:val="003B679F"/>
    <w:rsid w:val="003B7640"/>
    <w:rsid w:val="003B7F1C"/>
    <w:rsid w:val="003C0B6C"/>
    <w:rsid w:val="003C40F8"/>
    <w:rsid w:val="003C436F"/>
    <w:rsid w:val="003C5086"/>
    <w:rsid w:val="003C54BA"/>
    <w:rsid w:val="003D0A2F"/>
    <w:rsid w:val="003D0E38"/>
    <w:rsid w:val="003D0F9F"/>
    <w:rsid w:val="003D10F9"/>
    <w:rsid w:val="003D1D1F"/>
    <w:rsid w:val="003D210B"/>
    <w:rsid w:val="003D218D"/>
    <w:rsid w:val="003D2252"/>
    <w:rsid w:val="003D28C9"/>
    <w:rsid w:val="003D2BBE"/>
    <w:rsid w:val="003D2D47"/>
    <w:rsid w:val="003D3274"/>
    <w:rsid w:val="003D460E"/>
    <w:rsid w:val="003D4DC0"/>
    <w:rsid w:val="003D53E7"/>
    <w:rsid w:val="003D5C8A"/>
    <w:rsid w:val="003E2BF3"/>
    <w:rsid w:val="003E3BBB"/>
    <w:rsid w:val="003E3D14"/>
    <w:rsid w:val="003E484B"/>
    <w:rsid w:val="003E6B29"/>
    <w:rsid w:val="003E6F00"/>
    <w:rsid w:val="003F20C0"/>
    <w:rsid w:val="003F219A"/>
    <w:rsid w:val="003F36D7"/>
    <w:rsid w:val="003F5C4E"/>
    <w:rsid w:val="003F5F4B"/>
    <w:rsid w:val="003F6A5D"/>
    <w:rsid w:val="003F798C"/>
    <w:rsid w:val="00400DDC"/>
    <w:rsid w:val="00402082"/>
    <w:rsid w:val="004026AB"/>
    <w:rsid w:val="004040CF"/>
    <w:rsid w:val="004041E8"/>
    <w:rsid w:val="00404CBF"/>
    <w:rsid w:val="00405A72"/>
    <w:rsid w:val="0040689C"/>
    <w:rsid w:val="004103F7"/>
    <w:rsid w:val="00411ABE"/>
    <w:rsid w:val="00411C51"/>
    <w:rsid w:val="00412FCD"/>
    <w:rsid w:val="00416902"/>
    <w:rsid w:val="004214EB"/>
    <w:rsid w:val="0042233E"/>
    <w:rsid w:val="004231F7"/>
    <w:rsid w:val="00423826"/>
    <w:rsid w:val="00425751"/>
    <w:rsid w:val="00427C92"/>
    <w:rsid w:val="00431B7D"/>
    <w:rsid w:val="00431F66"/>
    <w:rsid w:val="0043261D"/>
    <w:rsid w:val="00432F96"/>
    <w:rsid w:val="00433A19"/>
    <w:rsid w:val="00436B4A"/>
    <w:rsid w:val="00436DDC"/>
    <w:rsid w:val="00436F89"/>
    <w:rsid w:val="0043773D"/>
    <w:rsid w:val="00437BF6"/>
    <w:rsid w:val="0044043D"/>
    <w:rsid w:val="004409F2"/>
    <w:rsid w:val="00441339"/>
    <w:rsid w:val="00441D38"/>
    <w:rsid w:val="00442185"/>
    <w:rsid w:val="00442D98"/>
    <w:rsid w:val="00444198"/>
    <w:rsid w:val="00444342"/>
    <w:rsid w:val="004449F1"/>
    <w:rsid w:val="00444B4C"/>
    <w:rsid w:val="004450E5"/>
    <w:rsid w:val="004456AB"/>
    <w:rsid w:val="00447F3E"/>
    <w:rsid w:val="0045076C"/>
    <w:rsid w:val="004508D4"/>
    <w:rsid w:val="00451018"/>
    <w:rsid w:val="00451165"/>
    <w:rsid w:val="00451351"/>
    <w:rsid w:val="004516AD"/>
    <w:rsid w:val="00451F31"/>
    <w:rsid w:val="004525B8"/>
    <w:rsid w:val="00452F5F"/>
    <w:rsid w:val="00453060"/>
    <w:rsid w:val="004541E0"/>
    <w:rsid w:val="004546A1"/>
    <w:rsid w:val="00454B80"/>
    <w:rsid w:val="00460B1E"/>
    <w:rsid w:val="004629B2"/>
    <w:rsid w:val="004631F2"/>
    <w:rsid w:val="00463782"/>
    <w:rsid w:val="00463D65"/>
    <w:rsid w:val="00464A0C"/>
    <w:rsid w:val="004652C3"/>
    <w:rsid w:val="00466EB7"/>
    <w:rsid w:val="00467135"/>
    <w:rsid w:val="004678C1"/>
    <w:rsid w:val="00467D22"/>
    <w:rsid w:val="00470E80"/>
    <w:rsid w:val="00471AA1"/>
    <w:rsid w:val="00472BA0"/>
    <w:rsid w:val="00476EE3"/>
    <w:rsid w:val="00476FF4"/>
    <w:rsid w:val="0047702B"/>
    <w:rsid w:val="004774E4"/>
    <w:rsid w:val="00481300"/>
    <w:rsid w:val="00481686"/>
    <w:rsid w:val="0048353F"/>
    <w:rsid w:val="00485473"/>
    <w:rsid w:val="00486AE9"/>
    <w:rsid w:val="00487584"/>
    <w:rsid w:val="00487DAA"/>
    <w:rsid w:val="00491164"/>
    <w:rsid w:val="004918FF"/>
    <w:rsid w:val="00493AF4"/>
    <w:rsid w:val="00495A07"/>
    <w:rsid w:val="00496463"/>
    <w:rsid w:val="004A35D3"/>
    <w:rsid w:val="004A3CBA"/>
    <w:rsid w:val="004A61B4"/>
    <w:rsid w:val="004A6A3B"/>
    <w:rsid w:val="004A7A3C"/>
    <w:rsid w:val="004B0AD1"/>
    <w:rsid w:val="004B0F32"/>
    <w:rsid w:val="004B444A"/>
    <w:rsid w:val="004B4B70"/>
    <w:rsid w:val="004B5EB7"/>
    <w:rsid w:val="004B6E65"/>
    <w:rsid w:val="004B74C1"/>
    <w:rsid w:val="004C07C4"/>
    <w:rsid w:val="004C0947"/>
    <w:rsid w:val="004C18F7"/>
    <w:rsid w:val="004C1B7E"/>
    <w:rsid w:val="004C2C0B"/>
    <w:rsid w:val="004C3F8F"/>
    <w:rsid w:val="004C4BA4"/>
    <w:rsid w:val="004C6708"/>
    <w:rsid w:val="004C6729"/>
    <w:rsid w:val="004C69B9"/>
    <w:rsid w:val="004C6C3E"/>
    <w:rsid w:val="004C7200"/>
    <w:rsid w:val="004C743D"/>
    <w:rsid w:val="004C76C9"/>
    <w:rsid w:val="004C7ECB"/>
    <w:rsid w:val="004D04CE"/>
    <w:rsid w:val="004D0D05"/>
    <w:rsid w:val="004D12E6"/>
    <w:rsid w:val="004D188E"/>
    <w:rsid w:val="004D217C"/>
    <w:rsid w:val="004D2DA1"/>
    <w:rsid w:val="004D3EA8"/>
    <w:rsid w:val="004D4047"/>
    <w:rsid w:val="004D4DCB"/>
    <w:rsid w:val="004D5BDA"/>
    <w:rsid w:val="004D6099"/>
    <w:rsid w:val="004D6F25"/>
    <w:rsid w:val="004E1F78"/>
    <w:rsid w:val="004E232C"/>
    <w:rsid w:val="004E2BF3"/>
    <w:rsid w:val="004E3FDD"/>
    <w:rsid w:val="004E4980"/>
    <w:rsid w:val="004E50AB"/>
    <w:rsid w:val="004E5436"/>
    <w:rsid w:val="004E6456"/>
    <w:rsid w:val="004F0011"/>
    <w:rsid w:val="004F00D8"/>
    <w:rsid w:val="004F0B45"/>
    <w:rsid w:val="004F17B5"/>
    <w:rsid w:val="004F3585"/>
    <w:rsid w:val="004F39D7"/>
    <w:rsid w:val="004F4CA0"/>
    <w:rsid w:val="004F4F39"/>
    <w:rsid w:val="004F5F03"/>
    <w:rsid w:val="004F7477"/>
    <w:rsid w:val="00500309"/>
    <w:rsid w:val="005003F4"/>
    <w:rsid w:val="005017A4"/>
    <w:rsid w:val="00502837"/>
    <w:rsid w:val="005040C9"/>
    <w:rsid w:val="005044C6"/>
    <w:rsid w:val="005055F7"/>
    <w:rsid w:val="00505DFD"/>
    <w:rsid w:val="005067A7"/>
    <w:rsid w:val="00506E7C"/>
    <w:rsid w:val="005072D0"/>
    <w:rsid w:val="005103FE"/>
    <w:rsid w:val="00510954"/>
    <w:rsid w:val="00512863"/>
    <w:rsid w:val="005152AE"/>
    <w:rsid w:val="00515CED"/>
    <w:rsid w:val="005171F7"/>
    <w:rsid w:val="00517952"/>
    <w:rsid w:val="005201B2"/>
    <w:rsid w:val="0052141F"/>
    <w:rsid w:val="00523738"/>
    <w:rsid w:val="00523B3D"/>
    <w:rsid w:val="00523CA5"/>
    <w:rsid w:val="005259CA"/>
    <w:rsid w:val="00525DDB"/>
    <w:rsid w:val="0052697F"/>
    <w:rsid w:val="0053020D"/>
    <w:rsid w:val="00531A64"/>
    <w:rsid w:val="00532420"/>
    <w:rsid w:val="00535448"/>
    <w:rsid w:val="00535535"/>
    <w:rsid w:val="00536C59"/>
    <w:rsid w:val="00536D35"/>
    <w:rsid w:val="00536F32"/>
    <w:rsid w:val="00537630"/>
    <w:rsid w:val="005405C3"/>
    <w:rsid w:val="00540A8A"/>
    <w:rsid w:val="005414EE"/>
    <w:rsid w:val="0054295A"/>
    <w:rsid w:val="00542FC7"/>
    <w:rsid w:val="005459A6"/>
    <w:rsid w:val="00551909"/>
    <w:rsid w:val="00552248"/>
    <w:rsid w:val="00552623"/>
    <w:rsid w:val="00553E35"/>
    <w:rsid w:val="00555594"/>
    <w:rsid w:val="005572A1"/>
    <w:rsid w:val="00560794"/>
    <w:rsid w:val="0056111F"/>
    <w:rsid w:val="0056161E"/>
    <w:rsid w:val="00561A24"/>
    <w:rsid w:val="00561B58"/>
    <w:rsid w:val="00567391"/>
    <w:rsid w:val="00567656"/>
    <w:rsid w:val="005709D2"/>
    <w:rsid w:val="00570BA8"/>
    <w:rsid w:val="00574322"/>
    <w:rsid w:val="005754A0"/>
    <w:rsid w:val="00575B2C"/>
    <w:rsid w:val="00575FE1"/>
    <w:rsid w:val="00576D7C"/>
    <w:rsid w:val="00577C5E"/>
    <w:rsid w:val="00580526"/>
    <w:rsid w:val="00580A85"/>
    <w:rsid w:val="00580D52"/>
    <w:rsid w:val="00581371"/>
    <w:rsid w:val="00583BD9"/>
    <w:rsid w:val="00587625"/>
    <w:rsid w:val="00587C3E"/>
    <w:rsid w:val="00591D2F"/>
    <w:rsid w:val="005934F9"/>
    <w:rsid w:val="00593915"/>
    <w:rsid w:val="00595294"/>
    <w:rsid w:val="005962AE"/>
    <w:rsid w:val="00596A7B"/>
    <w:rsid w:val="00597A0B"/>
    <w:rsid w:val="00597CEF"/>
    <w:rsid w:val="005A0361"/>
    <w:rsid w:val="005A0591"/>
    <w:rsid w:val="005A07A4"/>
    <w:rsid w:val="005A0875"/>
    <w:rsid w:val="005A2C5C"/>
    <w:rsid w:val="005A3970"/>
    <w:rsid w:val="005A3B02"/>
    <w:rsid w:val="005A4A18"/>
    <w:rsid w:val="005A51C1"/>
    <w:rsid w:val="005B3F00"/>
    <w:rsid w:val="005B3FA1"/>
    <w:rsid w:val="005B4A6C"/>
    <w:rsid w:val="005B52F0"/>
    <w:rsid w:val="005B7063"/>
    <w:rsid w:val="005C065B"/>
    <w:rsid w:val="005C1909"/>
    <w:rsid w:val="005C2358"/>
    <w:rsid w:val="005C3264"/>
    <w:rsid w:val="005C3A5C"/>
    <w:rsid w:val="005C550A"/>
    <w:rsid w:val="005C5B45"/>
    <w:rsid w:val="005C5BC5"/>
    <w:rsid w:val="005C6466"/>
    <w:rsid w:val="005C67EE"/>
    <w:rsid w:val="005D0C50"/>
    <w:rsid w:val="005D0D8A"/>
    <w:rsid w:val="005D1345"/>
    <w:rsid w:val="005D4FF4"/>
    <w:rsid w:val="005D691E"/>
    <w:rsid w:val="005E0674"/>
    <w:rsid w:val="005E08B4"/>
    <w:rsid w:val="005E138F"/>
    <w:rsid w:val="005E17A7"/>
    <w:rsid w:val="005E1AD5"/>
    <w:rsid w:val="005E213A"/>
    <w:rsid w:val="005E562F"/>
    <w:rsid w:val="005E5718"/>
    <w:rsid w:val="005E72BD"/>
    <w:rsid w:val="005E77E9"/>
    <w:rsid w:val="005E7DBE"/>
    <w:rsid w:val="005F031C"/>
    <w:rsid w:val="005F133D"/>
    <w:rsid w:val="005F1A3F"/>
    <w:rsid w:val="005F2175"/>
    <w:rsid w:val="005F2769"/>
    <w:rsid w:val="005F2BC4"/>
    <w:rsid w:val="005F5282"/>
    <w:rsid w:val="00600008"/>
    <w:rsid w:val="006009CB"/>
    <w:rsid w:val="006012BE"/>
    <w:rsid w:val="00603B71"/>
    <w:rsid w:val="006101E3"/>
    <w:rsid w:val="00610C15"/>
    <w:rsid w:val="0061152E"/>
    <w:rsid w:val="00612469"/>
    <w:rsid w:val="00612603"/>
    <w:rsid w:val="006129AD"/>
    <w:rsid w:val="00613577"/>
    <w:rsid w:val="006136E1"/>
    <w:rsid w:val="006142F6"/>
    <w:rsid w:val="00614585"/>
    <w:rsid w:val="00614994"/>
    <w:rsid w:val="00617960"/>
    <w:rsid w:val="00620652"/>
    <w:rsid w:val="006208AC"/>
    <w:rsid w:val="0062141C"/>
    <w:rsid w:val="006215AE"/>
    <w:rsid w:val="0062372A"/>
    <w:rsid w:val="006251C5"/>
    <w:rsid w:val="0062740F"/>
    <w:rsid w:val="0063066B"/>
    <w:rsid w:val="0063117E"/>
    <w:rsid w:val="00632B1B"/>
    <w:rsid w:val="00633F0A"/>
    <w:rsid w:val="00634833"/>
    <w:rsid w:val="00634B95"/>
    <w:rsid w:val="0063513B"/>
    <w:rsid w:val="006351BD"/>
    <w:rsid w:val="00637586"/>
    <w:rsid w:val="00637BE7"/>
    <w:rsid w:val="00640EF6"/>
    <w:rsid w:val="006422E9"/>
    <w:rsid w:val="0064248C"/>
    <w:rsid w:val="006442F6"/>
    <w:rsid w:val="00644702"/>
    <w:rsid w:val="00644AA1"/>
    <w:rsid w:val="00650248"/>
    <w:rsid w:val="00651605"/>
    <w:rsid w:val="0065184F"/>
    <w:rsid w:val="00653CD9"/>
    <w:rsid w:val="006540A5"/>
    <w:rsid w:val="00656206"/>
    <w:rsid w:val="00656CC8"/>
    <w:rsid w:val="00662DBA"/>
    <w:rsid w:val="006659A5"/>
    <w:rsid w:val="00666160"/>
    <w:rsid w:val="00666D13"/>
    <w:rsid w:val="00667839"/>
    <w:rsid w:val="00670584"/>
    <w:rsid w:val="00670CA3"/>
    <w:rsid w:val="00671132"/>
    <w:rsid w:val="00671B19"/>
    <w:rsid w:val="00671E69"/>
    <w:rsid w:val="00671F40"/>
    <w:rsid w:val="00672628"/>
    <w:rsid w:val="00673DEE"/>
    <w:rsid w:val="00673EB5"/>
    <w:rsid w:val="0067413D"/>
    <w:rsid w:val="006745A3"/>
    <w:rsid w:val="00674D64"/>
    <w:rsid w:val="00675A61"/>
    <w:rsid w:val="0067613D"/>
    <w:rsid w:val="006761F8"/>
    <w:rsid w:val="00676703"/>
    <w:rsid w:val="00676A5D"/>
    <w:rsid w:val="00677AF4"/>
    <w:rsid w:val="006802C2"/>
    <w:rsid w:val="006805AE"/>
    <w:rsid w:val="00680903"/>
    <w:rsid w:val="006811CD"/>
    <w:rsid w:val="0068272F"/>
    <w:rsid w:val="00682936"/>
    <w:rsid w:val="0068308F"/>
    <w:rsid w:val="00683AE0"/>
    <w:rsid w:val="00686CDF"/>
    <w:rsid w:val="006906C0"/>
    <w:rsid w:val="00692B65"/>
    <w:rsid w:val="006958F8"/>
    <w:rsid w:val="00695E14"/>
    <w:rsid w:val="006975F4"/>
    <w:rsid w:val="006A040F"/>
    <w:rsid w:val="006A16D9"/>
    <w:rsid w:val="006A2C4D"/>
    <w:rsid w:val="006A6FF4"/>
    <w:rsid w:val="006A7847"/>
    <w:rsid w:val="006A7A59"/>
    <w:rsid w:val="006B035E"/>
    <w:rsid w:val="006B04A2"/>
    <w:rsid w:val="006B0BDC"/>
    <w:rsid w:val="006B2112"/>
    <w:rsid w:val="006B2182"/>
    <w:rsid w:val="006B2762"/>
    <w:rsid w:val="006B4389"/>
    <w:rsid w:val="006B5902"/>
    <w:rsid w:val="006B5FB1"/>
    <w:rsid w:val="006B62C6"/>
    <w:rsid w:val="006B6C0A"/>
    <w:rsid w:val="006B7650"/>
    <w:rsid w:val="006C16DB"/>
    <w:rsid w:val="006C201B"/>
    <w:rsid w:val="006C33AF"/>
    <w:rsid w:val="006C3817"/>
    <w:rsid w:val="006C4103"/>
    <w:rsid w:val="006C4A69"/>
    <w:rsid w:val="006C51C2"/>
    <w:rsid w:val="006C6856"/>
    <w:rsid w:val="006C73F7"/>
    <w:rsid w:val="006D0BC3"/>
    <w:rsid w:val="006D2369"/>
    <w:rsid w:val="006D23D0"/>
    <w:rsid w:val="006D3C3B"/>
    <w:rsid w:val="006D3D3F"/>
    <w:rsid w:val="006D3D67"/>
    <w:rsid w:val="006D40F8"/>
    <w:rsid w:val="006D4337"/>
    <w:rsid w:val="006D65E8"/>
    <w:rsid w:val="006D718A"/>
    <w:rsid w:val="006E2BE0"/>
    <w:rsid w:val="006E3BC1"/>
    <w:rsid w:val="006E5402"/>
    <w:rsid w:val="006E654A"/>
    <w:rsid w:val="006E6ECA"/>
    <w:rsid w:val="006F3BB0"/>
    <w:rsid w:val="006F4CEE"/>
    <w:rsid w:val="006F61A1"/>
    <w:rsid w:val="006F7BED"/>
    <w:rsid w:val="00700286"/>
    <w:rsid w:val="007009C2"/>
    <w:rsid w:val="00701814"/>
    <w:rsid w:val="007022F2"/>
    <w:rsid w:val="00702E98"/>
    <w:rsid w:val="00702FB5"/>
    <w:rsid w:val="007046B1"/>
    <w:rsid w:val="00706B0B"/>
    <w:rsid w:val="00707222"/>
    <w:rsid w:val="00710297"/>
    <w:rsid w:val="00711A4C"/>
    <w:rsid w:val="00711CB6"/>
    <w:rsid w:val="007135C3"/>
    <w:rsid w:val="00714BC5"/>
    <w:rsid w:val="007156D4"/>
    <w:rsid w:val="00715AF1"/>
    <w:rsid w:val="007211CE"/>
    <w:rsid w:val="0072135F"/>
    <w:rsid w:val="0072163B"/>
    <w:rsid w:val="00721853"/>
    <w:rsid w:val="007220D3"/>
    <w:rsid w:val="007222B7"/>
    <w:rsid w:val="007238A5"/>
    <w:rsid w:val="00723980"/>
    <w:rsid w:val="0072579C"/>
    <w:rsid w:val="00725B5E"/>
    <w:rsid w:val="00727B60"/>
    <w:rsid w:val="00730281"/>
    <w:rsid w:val="00732EDD"/>
    <w:rsid w:val="00735216"/>
    <w:rsid w:val="007355F2"/>
    <w:rsid w:val="0073765C"/>
    <w:rsid w:val="00740360"/>
    <w:rsid w:val="00740BAF"/>
    <w:rsid w:val="00742843"/>
    <w:rsid w:val="00742985"/>
    <w:rsid w:val="00743024"/>
    <w:rsid w:val="00745C9C"/>
    <w:rsid w:val="00746186"/>
    <w:rsid w:val="0074758D"/>
    <w:rsid w:val="00750AB9"/>
    <w:rsid w:val="00751260"/>
    <w:rsid w:val="007522E3"/>
    <w:rsid w:val="00755FE0"/>
    <w:rsid w:val="00756465"/>
    <w:rsid w:val="00763B50"/>
    <w:rsid w:val="00764D9E"/>
    <w:rsid w:val="00766DF5"/>
    <w:rsid w:val="00767056"/>
    <w:rsid w:val="007701A8"/>
    <w:rsid w:val="00770CB2"/>
    <w:rsid w:val="00770E67"/>
    <w:rsid w:val="007723A4"/>
    <w:rsid w:val="0077246E"/>
    <w:rsid w:val="007738C8"/>
    <w:rsid w:val="00773A31"/>
    <w:rsid w:val="00774B46"/>
    <w:rsid w:val="007754F1"/>
    <w:rsid w:val="0077577A"/>
    <w:rsid w:val="007757F3"/>
    <w:rsid w:val="0077636B"/>
    <w:rsid w:val="0077694A"/>
    <w:rsid w:val="007814E4"/>
    <w:rsid w:val="00781B22"/>
    <w:rsid w:val="00782F2D"/>
    <w:rsid w:val="007830C8"/>
    <w:rsid w:val="0078363F"/>
    <w:rsid w:val="0078389D"/>
    <w:rsid w:val="00783E17"/>
    <w:rsid w:val="007848F8"/>
    <w:rsid w:val="0078594C"/>
    <w:rsid w:val="00786FC9"/>
    <w:rsid w:val="0078741E"/>
    <w:rsid w:val="00787B77"/>
    <w:rsid w:val="007906D7"/>
    <w:rsid w:val="007907F1"/>
    <w:rsid w:val="007913C3"/>
    <w:rsid w:val="00792D33"/>
    <w:rsid w:val="00793E7D"/>
    <w:rsid w:val="00794995"/>
    <w:rsid w:val="00795B71"/>
    <w:rsid w:val="00797F7B"/>
    <w:rsid w:val="007A09B6"/>
    <w:rsid w:val="007A0A6C"/>
    <w:rsid w:val="007A0FE9"/>
    <w:rsid w:val="007A146A"/>
    <w:rsid w:val="007A18D0"/>
    <w:rsid w:val="007A1CD5"/>
    <w:rsid w:val="007A2CC4"/>
    <w:rsid w:val="007A2F27"/>
    <w:rsid w:val="007A4B50"/>
    <w:rsid w:val="007A4E6E"/>
    <w:rsid w:val="007A567C"/>
    <w:rsid w:val="007A57D4"/>
    <w:rsid w:val="007A5AF2"/>
    <w:rsid w:val="007A7448"/>
    <w:rsid w:val="007B01C8"/>
    <w:rsid w:val="007B11D0"/>
    <w:rsid w:val="007B230E"/>
    <w:rsid w:val="007B2346"/>
    <w:rsid w:val="007B2DFD"/>
    <w:rsid w:val="007B3024"/>
    <w:rsid w:val="007C00CE"/>
    <w:rsid w:val="007C14FD"/>
    <w:rsid w:val="007C15BF"/>
    <w:rsid w:val="007C1C41"/>
    <w:rsid w:val="007C55F1"/>
    <w:rsid w:val="007C676B"/>
    <w:rsid w:val="007C794C"/>
    <w:rsid w:val="007C7951"/>
    <w:rsid w:val="007D063F"/>
    <w:rsid w:val="007D06DD"/>
    <w:rsid w:val="007D15FD"/>
    <w:rsid w:val="007D3392"/>
    <w:rsid w:val="007D34D0"/>
    <w:rsid w:val="007D3C55"/>
    <w:rsid w:val="007D3CB1"/>
    <w:rsid w:val="007D4765"/>
    <w:rsid w:val="007D781A"/>
    <w:rsid w:val="007D781B"/>
    <w:rsid w:val="007E23F8"/>
    <w:rsid w:val="007E2F41"/>
    <w:rsid w:val="007E57C8"/>
    <w:rsid w:val="007E6745"/>
    <w:rsid w:val="007E6C5B"/>
    <w:rsid w:val="007E6D40"/>
    <w:rsid w:val="007F025B"/>
    <w:rsid w:val="007F062D"/>
    <w:rsid w:val="007F0F4F"/>
    <w:rsid w:val="007F46DA"/>
    <w:rsid w:val="007F50C6"/>
    <w:rsid w:val="007F6622"/>
    <w:rsid w:val="007F67C1"/>
    <w:rsid w:val="007F6DF7"/>
    <w:rsid w:val="007F6F21"/>
    <w:rsid w:val="007F704F"/>
    <w:rsid w:val="008001D6"/>
    <w:rsid w:val="008022C8"/>
    <w:rsid w:val="00803700"/>
    <w:rsid w:val="0080596C"/>
    <w:rsid w:val="00806066"/>
    <w:rsid w:val="00807040"/>
    <w:rsid w:val="008104A9"/>
    <w:rsid w:val="00810E3C"/>
    <w:rsid w:val="00811B24"/>
    <w:rsid w:val="00812D80"/>
    <w:rsid w:val="0081367C"/>
    <w:rsid w:val="00813A48"/>
    <w:rsid w:val="00814533"/>
    <w:rsid w:val="008145B7"/>
    <w:rsid w:val="00814D97"/>
    <w:rsid w:val="00815CB1"/>
    <w:rsid w:val="008160DE"/>
    <w:rsid w:val="008178F0"/>
    <w:rsid w:val="00820A6A"/>
    <w:rsid w:val="00821521"/>
    <w:rsid w:val="00821B9A"/>
    <w:rsid w:val="00821F86"/>
    <w:rsid w:val="00824867"/>
    <w:rsid w:val="00824B64"/>
    <w:rsid w:val="00824D12"/>
    <w:rsid w:val="00826269"/>
    <w:rsid w:val="008265FE"/>
    <w:rsid w:val="008319FE"/>
    <w:rsid w:val="00831AF4"/>
    <w:rsid w:val="00832B88"/>
    <w:rsid w:val="0083414F"/>
    <w:rsid w:val="008343FC"/>
    <w:rsid w:val="00834FE9"/>
    <w:rsid w:val="00835484"/>
    <w:rsid w:val="00836C83"/>
    <w:rsid w:val="008412D5"/>
    <w:rsid w:val="0084522F"/>
    <w:rsid w:val="0084544D"/>
    <w:rsid w:val="00845490"/>
    <w:rsid w:val="00852081"/>
    <w:rsid w:val="00852900"/>
    <w:rsid w:val="00853D32"/>
    <w:rsid w:val="00854059"/>
    <w:rsid w:val="008541F4"/>
    <w:rsid w:val="00855798"/>
    <w:rsid w:val="008557A0"/>
    <w:rsid w:val="00856234"/>
    <w:rsid w:val="00856CA1"/>
    <w:rsid w:val="00857288"/>
    <w:rsid w:val="00857E17"/>
    <w:rsid w:val="00860374"/>
    <w:rsid w:val="00861F4A"/>
    <w:rsid w:val="008624A4"/>
    <w:rsid w:val="0086431E"/>
    <w:rsid w:val="008644E5"/>
    <w:rsid w:val="00864DE2"/>
    <w:rsid w:val="00865AB4"/>
    <w:rsid w:val="00865FCE"/>
    <w:rsid w:val="008664A0"/>
    <w:rsid w:val="0087091A"/>
    <w:rsid w:val="00871036"/>
    <w:rsid w:val="008710C2"/>
    <w:rsid w:val="0087268D"/>
    <w:rsid w:val="00872B74"/>
    <w:rsid w:val="00872C76"/>
    <w:rsid w:val="008740E7"/>
    <w:rsid w:val="00874BD4"/>
    <w:rsid w:val="00874C16"/>
    <w:rsid w:val="0087591D"/>
    <w:rsid w:val="00875A60"/>
    <w:rsid w:val="0087619D"/>
    <w:rsid w:val="00880F7D"/>
    <w:rsid w:val="00882A66"/>
    <w:rsid w:val="00882C32"/>
    <w:rsid w:val="0088394C"/>
    <w:rsid w:val="0088574A"/>
    <w:rsid w:val="00885B6F"/>
    <w:rsid w:val="00885EAD"/>
    <w:rsid w:val="00886C2E"/>
    <w:rsid w:val="00887127"/>
    <w:rsid w:val="008918FB"/>
    <w:rsid w:val="0089261E"/>
    <w:rsid w:val="008933AE"/>
    <w:rsid w:val="00893438"/>
    <w:rsid w:val="008938F9"/>
    <w:rsid w:val="008943E6"/>
    <w:rsid w:val="008955B2"/>
    <w:rsid w:val="0089574E"/>
    <w:rsid w:val="00895823"/>
    <w:rsid w:val="00896A07"/>
    <w:rsid w:val="008A1379"/>
    <w:rsid w:val="008A3391"/>
    <w:rsid w:val="008A3B6C"/>
    <w:rsid w:val="008A4443"/>
    <w:rsid w:val="008A4D0A"/>
    <w:rsid w:val="008A5381"/>
    <w:rsid w:val="008A65FB"/>
    <w:rsid w:val="008A6ADF"/>
    <w:rsid w:val="008A778F"/>
    <w:rsid w:val="008A7801"/>
    <w:rsid w:val="008A7A76"/>
    <w:rsid w:val="008B127F"/>
    <w:rsid w:val="008B1BF9"/>
    <w:rsid w:val="008B22C0"/>
    <w:rsid w:val="008B2879"/>
    <w:rsid w:val="008B4D63"/>
    <w:rsid w:val="008B5514"/>
    <w:rsid w:val="008B56AB"/>
    <w:rsid w:val="008B64DC"/>
    <w:rsid w:val="008B6A89"/>
    <w:rsid w:val="008C0367"/>
    <w:rsid w:val="008C079A"/>
    <w:rsid w:val="008C0B6C"/>
    <w:rsid w:val="008C149D"/>
    <w:rsid w:val="008C14CB"/>
    <w:rsid w:val="008C236A"/>
    <w:rsid w:val="008C6C7E"/>
    <w:rsid w:val="008C7763"/>
    <w:rsid w:val="008D2582"/>
    <w:rsid w:val="008D2EB7"/>
    <w:rsid w:val="008D3525"/>
    <w:rsid w:val="008D5C94"/>
    <w:rsid w:val="008D6775"/>
    <w:rsid w:val="008D6B27"/>
    <w:rsid w:val="008D6EA1"/>
    <w:rsid w:val="008E04B9"/>
    <w:rsid w:val="008E1459"/>
    <w:rsid w:val="008E279F"/>
    <w:rsid w:val="008E2AC4"/>
    <w:rsid w:val="008E2F1C"/>
    <w:rsid w:val="008E43CA"/>
    <w:rsid w:val="008E5B34"/>
    <w:rsid w:val="008E5B3A"/>
    <w:rsid w:val="008E70AE"/>
    <w:rsid w:val="008E7BCB"/>
    <w:rsid w:val="008F0315"/>
    <w:rsid w:val="008F1181"/>
    <w:rsid w:val="008F19EF"/>
    <w:rsid w:val="008F1BD3"/>
    <w:rsid w:val="008F257D"/>
    <w:rsid w:val="008F3268"/>
    <w:rsid w:val="008F4527"/>
    <w:rsid w:val="008F51EB"/>
    <w:rsid w:val="008F59B9"/>
    <w:rsid w:val="008F6168"/>
    <w:rsid w:val="00900FF0"/>
    <w:rsid w:val="00901600"/>
    <w:rsid w:val="00901CD3"/>
    <w:rsid w:val="009035BB"/>
    <w:rsid w:val="00905CB5"/>
    <w:rsid w:val="009077CF"/>
    <w:rsid w:val="00910104"/>
    <w:rsid w:val="00910FFB"/>
    <w:rsid w:val="00913693"/>
    <w:rsid w:val="00915261"/>
    <w:rsid w:val="009160A2"/>
    <w:rsid w:val="00916B58"/>
    <w:rsid w:val="009215E2"/>
    <w:rsid w:val="0092299C"/>
    <w:rsid w:val="0092328D"/>
    <w:rsid w:val="00924FEC"/>
    <w:rsid w:val="009251DA"/>
    <w:rsid w:val="00926470"/>
    <w:rsid w:val="00926A8B"/>
    <w:rsid w:val="00926A8E"/>
    <w:rsid w:val="009276E0"/>
    <w:rsid w:val="00927CE7"/>
    <w:rsid w:val="00930295"/>
    <w:rsid w:val="00931518"/>
    <w:rsid w:val="0093172D"/>
    <w:rsid w:val="00931C34"/>
    <w:rsid w:val="00932529"/>
    <w:rsid w:val="00933644"/>
    <w:rsid w:val="009346A1"/>
    <w:rsid w:val="0093546E"/>
    <w:rsid w:val="009358CE"/>
    <w:rsid w:val="00935C63"/>
    <w:rsid w:val="00936F64"/>
    <w:rsid w:val="00937E29"/>
    <w:rsid w:val="00937EFE"/>
    <w:rsid w:val="00940472"/>
    <w:rsid w:val="00940900"/>
    <w:rsid w:val="00942F9E"/>
    <w:rsid w:val="009437AD"/>
    <w:rsid w:val="009463E7"/>
    <w:rsid w:val="00946A66"/>
    <w:rsid w:val="0094731D"/>
    <w:rsid w:val="00947C25"/>
    <w:rsid w:val="00947F92"/>
    <w:rsid w:val="00951819"/>
    <w:rsid w:val="00952DBA"/>
    <w:rsid w:val="009541F1"/>
    <w:rsid w:val="009542B1"/>
    <w:rsid w:val="00954B0B"/>
    <w:rsid w:val="00957142"/>
    <w:rsid w:val="0096058F"/>
    <w:rsid w:val="00960BC8"/>
    <w:rsid w:val="00960F42"/>
    <w:rsid w:val="00961172"/>
    <w:rsid w:val="00963323"/>
    <w:rsid w:val="0096621F"/>
    <w:rsid w:val="00966972"/>
    <w:rsid w:val="00970899"/>
    <w:rsid w:val="00971025"/>
    <w:rsid w:val="00971285"/>
    <w:rsid w:val="009721E4"/>
    <w:rsid w:val="00972594"/>
    <w:rsid w:val="00974109"/>
    <w:rsid w:val="0097415F"/>
    <w:rsid w:val="00974ACF"/>
    <w:rsid w:val="00974D34"/>
    <w:rsid w:val="00975E14"/>
    <w:rsid w:val="0097755F"/>
    <w:rsid w:val="00977614"/>
    <w:rsid w:val="0097789F"/>
    <w:rsid w:val="009823C9"/>
    <w:rsid w:val="00983743"/>
    <w:rsid w:val="009843E3"/>
    <w:rsid w:val="00984B20"/>
    <w:rsid w:val="009855A6"/>
    <w:rsid w:val="00985CA3"/>
    <w:rsid w:val="00985D53"/>
    <w:rsid w:val="0098677E"/>
    <w:rsid w:val="009901D2"/>
    <w:rsid w:val="009907BE"/>
    <w:rsid w:val="00991655"/>
    <w:rsid w:val="0099203A"/>
    <w:rsid w:val="00992335"/>
    <w:rsid w:val="00994936"/>
    <w:rsid w:val="00994D42"/>
    <w:rsid w:val="009A0B10"/>
    <w:rsid w:val="009A38ED"/>
    <w:rsid w:val="009B0307"/>
    <w:rsid w:val="009B44EE"/>
    <w:rsid w:val="009B5F2D"/>
    <w:rsid w:val="009C0864"/>
    <w:rsid w:val="009C10BA"/>
    <w:rsid w:val="009C3DFF"/>
    <w:rsid w:val="009C578A"/>
    <w:rsid w:val="009C65FF"/>
    <w:rsid w:val="009C721F"/>
    <w:rsid w:val="009C737A"/>
    <w:rsid w:val="009C74BB"/>
    <w:rsid w:val="009D058A"/>
    <w:rsid w:val="009D0614"/>
    <w:rsid w:val="009D0F99"/>
    <w:rsid w:val="009D324B"/>
    <w:rsid w:val="009D44CB"/>
    <w:rsid w:val="009D4615"/>
    <w:rsid w:val="009D52A6"/>
    <w:rsid w:val="009D5941"/>
    <w:rsid w:val="009D5982"/>
    <w:rsid w:val="009D6085"/>
    <w:rsid w:val="009E0060"/>
    <w:rsid w:val="009E1115"/>
    <w:rsid w:val="009E230B"/>
    <w:rsid w:val="009E3DC7"/>
    <w:rsid w:val="009E42A9"/>
    <w:rsid w:val="009E4436"/>
    <w:rsid w:val="009E462B"/>
    <w:rsid w:val="009F00C6"/>
    <w:rsid w:val="009F0527"/>
    <w:rsid w:val="009F1D89"/>
    <w:rsid w:val="009F3815"/>
    <w:rsid w:val="009F4311"/>
    <w:rsid w:val="009F5EB3"/>
    <w:rsid w:val="009F6ACA"/>
    <w:rsid w:val="009F6FCD"/>
    <w:rsid w:val="00A01055"/>
    <w:rsid w:val="00A016F4"/>
    <w:rsid w:val="00A01AA7"/>
    <w:rsid w:val="00A022A5"/>
    <w:rsid w:val="00A04A9E"/>
    <w:rsid w:val="00A05E1B"/>
    <w:rsid w:val="00A07207"/>
    <w:rsid w:val="00A07EE8"/>
    <w:rsid w:val="00A12322"/>
    <w:rsid w:val="00A1274E"/>
    <w:rsid w:val="00A13AD1"/>
    <w:rsid w:val="00A205A7"/>
    <w:rsid w:val="00A248AE"/>
    <w:rsid w:val="00A261E2"/>
    <w:rsid w:val="00A26219"/>
    <w:rsid w:val="00A2758A"/>
    <w:rsid w:val="00A32D07"/>
    <w:rsid w:val="00A32F27"/>
    <w:rsid w:val="00A33120"/>
    <w:rsid w:val="00A341E9"/>
    <w:rsid w:val="00A348DE"/>
    <w:rsid w:val="00A34BD6"/>
    <w:rsid w:val="00A351CD"/>
    <w:rsid w:val="00A35CD0"/>
    <w:rsid w:val="00A35D33"/>
    <w:rsid w:val="00A400BC"/>
    <w:rsid w:val="00A41903"/>
    <w:rsid w:val="00A43983"/>
    <w:rsid w:val="00A46094"/>
    <w:rsid w:val="00A4798C"/>
    <w:rsid w:val="00A47EA7"/>
    <w:rsid w:val="00A47F05"/>
    <w:rsid w:val="00A506FA"/>
    <w:rsid w:val="00A507E2"/>
    <w:rsid w:val="00A50953"/>
    <w:rsid w:val="00A513EA"/>
    <w:rsid w:val="00A52166"/>
    <w:rsid w:val="00A5325B"/>
    <w:rsid w:val="00A537FA"/>
    <w:rsid w:val="00A538F8"/>
    <w:rsid w:val="00A542AE"/>
    <w:rsid w:val="00A55A5A"/>
    <w:rsid w:val="00A56EBA"/>
    <w:rsid w:val="00A5706F"/>
    <w:rsid w:val="00A57C4B"/>
    <w:rsid w:val="00A57D30"/>
    <w:rsid w:val="00A608F0"/>
    <w:rsid w:val="00A61F75"/>
    <w:rsid w:val="00A629F2"/>
    <w:rsid w:val="00A62B90"/>
    <w:rsid w:val="00A62FD8"/>
    <w:rsid w:val="00A63031"/>
    <w:rsid w:val="00A63CEE"/>
    <w:rsid w:val="00A64D6B"/>
    <w:rsid w:val="00A65660"/>
    <w:rsid w:val="00A664C4"/>
    <w:rsid w:val="00A67027"/>
    <w:rsid w:val="00A708F0"/>
    <w:rsid w:val="00A70968"/>
    <w:rsid w:val="00A74343"/>
    <w:rsid w:val="00A7535A"/>
    <w:rsid w:val="00A76414"/>
    <w:rsid w:val="00A76C9B"/>
    <w:rsid w:val="00A7713F"/>
    <w:rsid w:val="00A80801"/>
    <w:rsid w:val="00A80AF4"/>
    <w:rsid w:val="00A81748"/>
    <w:rsid w:val="00A84EB1"/>
    <w:rsid w:val="00A86DEB"/>
    <w:rsid w:val="00A86DF2"/>
    <w:rsid w:val="00A870CB"/>
    <w:rsid w:val="00A870D6"/>
    <w:rsid w:val="00A87656"/>
    <w:rsid w:val="00A9009C"/>
    <w:rsid w:val="00A90C33"/>
    <w:rsid w:val="00A922A5"/>
    <w:rsid w:val="00A9345B"/>
    <w:rsid w:val="00A93584"/>
    <w:rsid w:val="00A93BE2"/>
    <w:rsid w:val="00A94C5C"/>
    <w:rsid w:val="00A96518"/>
    <w:rsid w:val="00A9724F"/>
    <w:rsid w:val="00A97BA7"/>
    <w:rsid w:val="00AA02F4"/>
    <w:rsid w:val="00AA04D0"/>
    <w:rsid w:val="00AA203D"/>
    <w:rsid w:val="00AA2E43"/>
    <w:rsid w:val="00AA4103"/>
    <w:rsid w:val="00AA43F8"/>
    <w:rsid w:val="00AA5162"/>
    <w:rsid w:val="00AB052F"/>
    <w:rsid w:val="00AB08E7"/>
    <w:rsid w:val="00AB1205"/>
    <w:rsid w:val="00AB18C1"/>
    <w:rsid w:val="00AB1A80"/>
    <w:rsid w:val="00AB1AC2"/>
    <w:rsid w:val="00AB1E0F"/>
    <w:rsid w:val="00AB218A"/>
    <w:rsid w:val="00AB3E7C"/>
    <w:rsid w:val="00AB4613"/>
    <w:rsid w:val="00AB4A3A"/>
    <w:rsid w:val="00AB4B49"/>
    <w:rsid w:val="00AB503E"/>
    <w:rsid w:val="00AB6EE0"/>
    <w:rsid w:val="00AB77CB"/>
    <w:rsid w:val="00AB7D5A"/>
    <w:rsid w:val="00AC08DD"/>
    <w:rsid w:val="00AC1570"/>
    <w:rsid w:val="00AC16AE"/>
    <w:rsid w:val="00AC2421"/>
    <w:rsid w:val="00AC27E3"/>
    <w:rsid w:val="00AC2BA4"/>
    <w:rsid w:val="00AC73D4"/>
    <w:rsid w:val="00AD0B1B"/>
    <w:rsid w:val="00AD3FC2"/>
    <w:rsid w:val="00AD4255"/>
    <w:rsid w:val="00AD560D"/>
    <w:rsid w:val="00AD5613"/>
    <w:rsid w:val="00AD5BD5"/>
    <w:rsid w:val="00AD613D"/>
    <w:rsid w:val="00AD68F3"/>
    <w:rsid w:val="00AD7175"/>
    <w:rsid w:val="00AD728A"/>
    <w:rsid w:val="00AD7BD4"/>
    <w:rsid w:val="00AE06B6"/>
    <w:rsid w:val="00AE13DD"/>
    <w:rsid w:val="00AE1B4D"/>
    <w:rsid w:val="00AE2EE8"/>
    <w:rsid w:val="00AE6754"/>
    <w:rsid w:val="00AF1135"/>
    <w:rsid w:val="00AF4147"/>
    <w:rsid w:val="00AF4ACA"/>
    <w:rsid w:val="00AF5060"/>
    <w:rsid w:val="00AF60E1"/>
    <w:rsid w:val="00B0001A"/>
    <w:rsid w:val="00B00397"/>
    <w:rsid w:val="00B029BC"/>
    <w:rsid w:val="00B02ECE"/>
    <w:rsid w:val="00B0300D"/>
    <w:rsid w:val="00B046F5"/>
    <w:rsid w:val="00B04F9E"/>
    <w:rsid w:val="00B05DD5"/>
    <w:rsid w:val="00B06255"/>
    <w:rsid w:val="00B0627C"/>
    <w:rsid w:val="00B06395"/>
    <w:rsid w:val="00B0771E"/>
    <w:rsid w:val="00B101A7"/>
    <w:rsid w:val="00B10E92"/>
    <w:rsid w:val="00B12836"/>
    <w:rsid w:val="00B13155"/>
    <w:rsid w:val="00B13380"/>
    <w:rsid w:val="00B1757E"/>
    <w:rsid w:val="00B175BA"/>
    <w:rsid w:val="00B175D8"/>
    <w:rsid w:val="00B17846"/>
    <w:rsid w:val="00B20E16"/>
    <w:rsid w:val="00B21972"/>
    <w:rsid w:val="00B21994"/>
    <w:rsid w:val="00B236EC"/>
    <w:rsid w:val="00B23D84"/>
    <w:rsid w:val="00B2477E"/>
    <w:rsid w:val="00B26AC1"/>
    <w:rsid w:val="00B26E18"/>
    <w:rsid w:val="00B272E1"/>
    <w:rsid w:val="00B279D6"/>
    <w:rsid w:val="00B30698"/>
    <w:rsid w:val="00B30FE1"/>
    <w:rsid w:val="00B32EF5"/>
    <w:rsid w:val="00B33404"/>
    <w:rsid w:val="00B34CB8"/>
    <w:rsid w:val="00B362BB"/>
    <w:rsid w:val="00B375AD"/>
    <w:rsid w:val="00B3786A"/>
    <w:rsid w:val="00B40193"/>
    <w:rsid w:val="00B40942"/>
    <w:rsid w:val="00B40E2E"/>
    <w:rsid w:val="00B4353F"/>
    <w:rsid w:val="00B4411A"/>
    <w:rsid w:val="00B45B31"/>
    <w:rsid w:val="00B502AC"/>
    <w:rsid w:val="00B515D6"/>
    <w:rsid w:val="00B51D82"/>
    <w:rsid w:val="00B5211C"/>
    <w:rsid w:val="00B52677"/>
    <w:rsid w:val="00B538BE"/>
    <w:rsid w:val="00B55615"/>
    <w:rsid w:val="00B55A16"/>
    <w:rsid w:val="00B56145"/>
    <w:rsid w:val="00B56422"/>
    <w:rsid w:val="00B576A4"/>
    <w:rsid w:val="00B602CE"/>
    <w:rsid w:val="00B6077E"/>
    <w:rsid w:val="00B63F5D"/>
    <w:rsid w:val="00B66509"/>
    <w:rsid w:val="00B66591"/>
    <w:rsid w:val="00B70C02"/>
    <w:rsid w:val="00B72E14"/>
    <w:rsid w:val="00B73195"/>
    <w:rsid w:val="00B7534D"/>
    <w:rsid w:val="00B80ED2"/>
    <w:rsid w:val="00B8369C"/>
    <w:rsid w:val="00B84D49"/>
    <w:rsid w:val="00B84E61"/>
    <w:rsid w:val="00B91354"/>
    <w:rsid w:val="00B92103"/>
    <w:rsid w:val="00B9210B"/>
    <w:rsid w:val="00B929AB"/>
    <w:rsid w:val="00B93372"/>
    <w:rsid w:val="00B94840"/>
    <w:rsid w:val="00B950EB"/>
    <w:rsid w:val="00B953E4"/>
    <w:rsid w:val="00B96357"/>
    <w:rsid w:val="00B96850"/>
    <w:rsid w:val="00B96DC7"/>
    <w:rsid w:val="00B97C47"/>
    <w:rsid w:val="00B97CFD"/>
    <w:rsid w:val="00BA0A87"/>
    <w:rsid w:val="00BA0C93"/>
    <w:rsid w:val="00BA196C"/>
    <w:rsid w:val="00BA3943"/>
    <w:rsid w:val="00BA3F3F"/>
    <w:rsid w:val="00BA43CF"/>
    <w:rsid w:val="00BA45B7"/>
    <w:rsid w:val="00BA4FFF"/>
    <w:rsid w:val="00BA6AA4"/>
    <w:rsid w:val="00BB0512"/>
    <w:rsid w:val="00BB0A07"/>
    <w:rsid w:val="00BB1031"/>
    <w:rsid w:val="00BB19F1"/>
    <w:rsid w:val="00BB2853"/>
    <w:rsid w:val="00BB54D2"/>
    <w:rsid w:val="00BB76BE"/>
    <w:rsid w:val="00BC07D2"/>
    <w:rsid w:val="00BC15D7"/>
    <w:rsid w:val="00BC1B93"/>
    <w:rsid w:val="00BC2052"/>
    <w:rsid w:val="00BC2C9A"/>
    <w:rsid w:val="00BC37B3"/>
    <w:rsid w:val="00BC41CE"/>
    <w:rsid w:val="00BC527B"/>
    <w:rsid w:val="00BC61FC"/>
    <w:rsid w:val="00BC6455"/>
    <w:rsid w:val="00BC7295"/>
    <w:rsid w:val="00BC72A1"/>
    <w:rsid w:val="00BD25D6"/>
    <w:rsid w:val="00BD2E1D"/>
    <w:rsid w:val="00BD3FD0"/>
    <w:rsid w:val="00BD4399"/>
    <w:rsid w:val="00BD5470"/>
    <w:rsid w:val="00BD5B12"/>
    <w:rsid w:val="00BD5BC2"/>
    <w:rsid w:val="00BD7DCB"/>
    <w:rsid w:val="00BE04DA"/>
    <w:rsid w:val="00BE067B"/>
    <w:rsid w:val="00BE12E1"/>
    <w:rsid w:val="00BE1558"/>
    <w:rsid w:val="00BE35B9"/>
    <w:rsid w:val="00BE3969"/>
    <w:rsid w:val="00BE3A11"/>
    <w:rsid w:val="00BE3D7C"/>
    <w:rsid w:val="00BE479D"/>
    <w:rsid w:val="00BE53B2"/>
    <w:rsid w:val="00BE70E4"/>
    <w:rsid w:val="00BE7920"/>
    <w:rsid w:val="00BE7A7A"/>
    <w:rsid w:val="00BE7E42"/>
    <w:rsid w:val="00BF1404"/>
    <w:rsid w:val="00BF287E"/>
    <w:rsid w:val="00BF2B93"/>
    <w:rsid w:val="00BF2FF7"/>
    <w:rsid w:val="00BF4376"/>
    <w:rsid w:val="00BF4D0C"/>
    <w:rsid w:val="00BF6507"/>
    <w:rsid w:val="00BF7450"/>
    <w:rsid w:val="00C012D8"/>
    <w:rsid w:val="00C013F8"/>
    <w:rsid w:val="00C01C37"/>
    <w:rsid w:val="00C01D1D"/>
    <w:rsid w:val="00C037DB"/>
    <w:rsid w:val="00C04C8D"/>
    <w:rsid w:val="00C04F80"/>
    <w:rsid w:val="00C05D77"/>
    <w:rsid w:val="00C07348"/>
    <w:rsid w:val="00C105FA"/>
    <w:rsid w:val="00C12C81"/>
    <w:rsid w:val="00C12EF4"/>
    <w:rsid w:val="00C1395A"/>
    <w:rsid w:val="00C1592D"/>
    <w:rsid w:val="00C159C9"/>
    <w:rsid w:val="00C205B0"/>
    <w:rsid w:val="00C20C06"/>
    <w:rsid w:val="00C21817"/>
    <w:rsid w:val="00C23CA4"/>
    <w:rsid w:val="00C31084"/>
    <w:rsid w:val="00C3113D"/>
    <w:rsid w:val="00C32FA1"/>
    <w:rsid w:val="00C34E5E"/>
    <w:rsid w:val="00C3552C"/>
    <w:rsid w:val="00C35BC5"/>
    <w:rsid w:val="00C36CE9"/>
    <w:rsid w:val="00C36D73"/>
    <w:rsid w:val="00C3783B"/>
    <w:rsid w:val="00C3787E"/>
    <w:rsid w:val="00C40E4D"/>
    <w:rsid w:val="00C42427"/>
    <w:rsid w:val="00C424B4"/>
    <w:rsid w:val="00C42DC7"/>
    <w:rsid w:val="00C43804"/>
    <w:rsid w:val="00C4416A"/>
    <w:rsid w:val="00C448AD"/>
    <w:rsid w:val="00C44F4E"/>
    <w:rsid w:val="00C45C9A"/>
    <w:rsid w:val="00C45EB5"/>
    <w:rsid w:val="00C4643A"/>
    <w:rsid w:val="00C47269"/>
    <w:rsid w:val="00C50438"/>
    <w:rsid w:val="00C50A69"/>
    <w:rsid w:val="00C56049"/>
    <w:rsid w:val="00C56BE1"/>
    <w:rsid w:val="00C57F47"/>
    <w:rsid w:val="00C60FC2"/>
    <w:rsid w:val="00C6237F"/>
    <w:rsid w:val="00C6318A"/>
    <w:rsid w:val="00C6343F"/>
    <w:rsid w:val="00C6620D"/>
    <w:rsid w:val="00C6659A"/>
    <w:rsid w:val="00C6715E"/>
    <w:rsid w:val="00C67192"/>
    <w:rsid w:val="00C67EA7"/>
    <w:rsid w:val="00C71FE7"/>
    <w:rsid w:val="00C73A35"/>
    <w:rsid w:val="00C74FCF"/>
    <w:rsid w:val="00C75C0E"/>
    <w:rsid w:val="00C76266"/>
    <w:rsid w:val="00C80339"/>
    <w:rsid w:val="00C808EB"/>
    <w:rsid w:val="00C809D4"/>
    <w:rsid w:val="00C818F1"/>
    <w:rsid w:val="00C8411D"/>
    <w:rsid w:val="00C85063"/>
    <w:rsid w:val="00C86475"/>
    <w:rsid w:val="00C86D48"/>
    <w:rsid w:val="00C901B6"/>
    <w:rsid w:val="00C913F5"/>
    <w:rsid w:val="00C914C4"/>
    <w:rsid w:val="00C91A55"/>
    <w:rsid w:val="00C929BD"/>
    <w:rsid w:val="00C93292"/>
    <w:rsid w:val="00C94FD6"/>
    <w:rsid w:val="00C96566"/>
    <w:rsid w:val="00C97864"/>
    <w:rsid w:val="00CA112A"/>
    <w:rsid w:val="00CA1B2D"/>
    <w:rsid w:val="00CA1EB4"/>
    <w:rsid w:val="00CA260B"/>
    <w:rsid w:val="00CA373C"/>
    <w:rsid w:val="00CA3BF1"/>
    <w:rsid w:val="00CA3DA3"/>
    <w:rsid w:val="00CA652F"/>
    <w:rsid w:val="00CA6573"/>
    <w:rsid w:val="00CA677E"/>
    <w:rsid w:val="00CA71C7"/>
    <w:rsid w:val="00CA7628"/>
    <w:rsid w:val="00CB072C"/>
    <w:rsid w:val="00CB15C6"/>
    <w:rsid w:val="00CB388F"/>
    <w:rsid w:val="00CB4D81"/>
    <w:rsid w:val="00CB52B8"/>
    <w:rsid w:val="00CB7B68"/>
    <w:rsid w:val="00CC0EA2"/>
    <w:rsid w:val="00CC1BF1"/>
    <w:rsid w:val="00CC423D"/>
    <w:rsid w:val="00CC6554"/>
    <w:rsid w:val="00CC7BAC"/>
    <w:rsid w:val="00CC7D60"/>
    <w:rsid w:val="00CD4B38"/>
    <w:rsid w:val="00CD53F9"/>
    <w:rsid w:val="00CD6C96"/>
    <w:rsid w:val="00CD6DBA"/>
    <w:rsid w:val="00CE1DC0"/>
    <w:rsid w:val="00CE223C"/>
    <w:rsid w:val="00CE4748"/>
    <w:rsid w:val="00CE650C"/>
    <w:rsid w:val="00CE692F"/>
    <w:rsid w:val="00CF0ADB"/>
    <w:rsid w:val="00CF2399"/>
    <w:rsid w:val="00CF2D1C"/>
    <w:rsid w:val="00CF350D"/>
    <w:rsid w:val="00CF372A"/>
    <w:rsid w:val="00CF4D61"/>
    <w:rsid w:val="00CF5D7E"/>
    <w:rsid w:val="00CF7AF8"/>
    <w:rsid w:val="00D00398"/>
    <w:rsid w:val="00D032A6"/>
    <w:rsid w:val="00D03C6C"/>
    <w:rsid w:val="00D052F5"/>
    <w:rsid w:val="00D05492"/>
    <w:rsid w:val="00D06BF9"/>
    <w:rsid w:val="00D07516"/>
    <w:rsid w:val="00D07700"/>
    <w:rsid w:val="00D10605"/>
    <w:rsid w:val="00D108E4"/>
    <w:rsid w:val="00D10D1B"/>
    <w:rsid w:val="00D1472E"/>
    <w:rsid w:val="00D14E57"/>
    <w:rsid w:val="00D15289"/>
    <w:rsid w:val="00D15DFD"/>
    <w:rsid w:val="00D1654D"/>
    <w:rsid w:val="00D16B07"/>
    <w:rsid w:val="00D21554"/>
    <w:rsid w:val="00D21857"/>
    <w:rsid w:val="00D224A7"/>
    <w:rsid w:val="00D23562"/>
    <w:rsid w:val="00D2396B"/>
    <w:rsid w:val="00D24EFC"/>
    <w:rsid w:val="00D256BB"/>
    <w:rsid w:val="00D26483"/>
    <w:rsid w:val="00D264FF"/>
    <w:rsid w:val="00D26595"/>
    <w:rsid w:val="00D27664"/>
    <w:rsid w:val="00D2778E"/>
    <w:rsid w:val="00D27C95"/>
    <w:rsid w:val="00D30E44"/>
    <w:rsid w:val="00D31039"/>
    <w:rsid w:val="00D362A8"/>
    <w:rsid w:val="00D362B2"/>
    <w:rsid w:val="00D36660"/>
    <w:rsid w:val="00D366B7"/>
    <w:rsid w:val="00D3743F"/>
    <w:rsid w:val="00D4010D"/>
    <w:rsid w:val="00D438A3"/>
    <w:rsid w:val="00D44E89"/>
    <w:rsid w:val="00D45141"/>
    <w:rsid w:val="00D46783"/>
    <w:rsid w:val="00D4733F"/>
    <w:rsid w:val="00D51344"/>
    <w:rsid w:val="00D51AC9"/>
    <w:rsid w:val="00D538AA"/>
    <w:rsid w:val="00D53917"/>
    <w:rsid w:val="00D56E60"/>
    <w:rsid w:val="00D57D8D"/>
    <w:rsid w:val="00D60FB1"/>
    <w:rsid w:val="00D6110A"/>
    <w:rsid w:val="00D62D52"/>
    <w:rsid w:val="00D63524"/>
    <w:rsid w:val="00D67558"/>
    <w:rsid w:val="00D708E3"/>
    <w:rsid w:val="00D71102"/>
    <w:rsid w:val="00D727A3"/>
    <w:rsid w:val="00D7285A"/>
    <w:rsid w:val="00D72EA2"/>
    <w:rsid w:val="00D770FC"/>
    <w:rsid w:val="00D77C4E"/>
    <w:rsid w:val="00D77CB9"/>
    <w:rsid w:val="00D81A52"/>
    <w:rsid w:val="00D828B2"/>
    <w:rsid w:val="00D83350"/>
    <w:rsid w:val="00D85F2A"/>
    <w:rsid w:val="00D86514"/>
    <w:rsid w:val="00D90391"/>
    <w:rsid w:val="00D931C4"/>
    <w:rsid w:val="00D93B49"/>
    <w:rsid w:val="00D95346"/>
    <w:rsid w:val="00D9590E"/>
    <w:rsid w:val="00D95AA0"/>
    <w:rsid w:val="00D95B25"/>
    <w:rsid w:val="00D96559"/>
    <w:rsid w:val="00D97F3D"/>
    <w:rsid w:val="00DA04C1"/>
    <w:rsid w:val="00DA20C6"/>
    <w:rsid w:val="00DA2FCB"/>
    <w:rsid w:val="00DA4BED"/>
    <w:rsid w:val="00DA59BE"/>
    <w:rsid w:val="00DA6286"/>
    <w:rsid w:val="00DB0A1E"/>
    <w:rsid w:val="00DB0B75"/>
    <w:rsid w:val="00DB0C8D"/>
    <w:rsid w:val="00DB2A1C"/>
    <w:rsid w:val="00DB3023"/>
    <w:rsid w:val="00DB5425"/>
    <w:rsid w:val="00DB5599"/>
    <w:rsid w:val="00DB55E7"/>
    <w:rsid w:val="00DB6DB1"/>
    <w:rsid w:val="00DC0219"/>
    <w:rsid w:val="00DC0B21"/>
    <w:rsid w:val="00DC1E00"/>
    <w:rsid w:val="00DC22B3"/>
    <w:rsid w:val="00DC2533"/>
    <w:rsid w:val="00DC3EA0"/>
    <w:rsid w:val="00DD2677"/>
    <w:rsid w:val="00DD330A"/>
    <w:rsid w:val="00DD707A"/>
    <w:rsid w:val="00DD7107"/>
    <w:rsid w:val="00DD7EB0"/>
    <w:rsid w:val="00DE0550"/>
    <w:rsid w:val="00DE0DBA"/>
    <w:rsid w:val="00DE2995"/>
    <w:rsid w:val="00DE494E"/>
    <w:rsid w:val="00DE4DB8"/>
    <w:rsid w:val="00DE7483"/>
    <w:rsid w:val="00DF0F33"/>
    <w:rsid w:val="00DF1253"/>
    <w:rsid w:val="00DF18A2"/>
    <w:rsid w:val="00DF2778"/>
    <w:rsid w:val="00DF27C9"/>
    <w:rsid w:val="00DF2F46"/>
    <w:rsid w:val="00DF3926"/>
    <w:rsid w:val="00DF740D"/>
    <w:rsid w:val="00DF762D"/>
    <w:rsid w:val="00DF7F95"/>
    <w:rsid w:val="00E0173B"/>
    <w:rsid w:val="00E01FDA"/>
    <w:rsid w:val="00E031BB"/>
    <w:rsid w:val="00E037FB"/>
    <w:rsid w:val="00E040DE"/>
    <w:rsid w:val="00E06CFB"/>
    <w:rsid w:val="00E06D8A"/>
    <w:rsid w:val="00E07850"/>
    <w:rsid w:val="00E1089C"/>
    <w:rsid w:val="00E10BB1"/>
    <w:rsid w:val="00E1195C"/>
    <w:rsid w:val="00E136B9"/>
    <w:rsid w:val="00E15B39"/>
    <w:rsid w:val="00E16B35"/>
    <w:rsid w:val="00E1714F"/>
    <w:rsid w:val="00E20E17"/>
    <w:rsid w:val="00E21495"/>
    <w:rsid w:val="00E2176B"/>
    <w:rsid w:val="00E218CC"/>
    <w:rsid w:val="00E21AB0"/>
    <w:rsid w:val="00E221C5"/>
    <w:rsid w:val="00E2323E"/>
    <w:rsid w:val="00E23AA8"/>
    <w:rsid w:val="00E256FA"/>
    <w:rsid w:val="00E2613D"/>
    <w:rsid w:val="00E266FD"/>
    <w:rsid w:val="00E268DF"/>
    <w:rsid w:val="00E26E7D"/>
    <w:rsid w:val="00E279A1"/>
    <w:rsid w:val="00E27A94"/>
    <w:rsid w:val="00E320A2"/>
    <w:rsid w:val="00E33833"/>
    <w:rsid w:val="00E33AD0"/>
    <w:rsid w:val="00E33C4A"/>
    <w:rsid w:val="00E349C0"/>
    <w:rsid w:val="00E34B8A"/>
    <w:rsid w:val="00E34ED9"/>
    <w:rsid w:val="00E369A0"/>
    <w:rsid w:val="00E400EB"/>
    <w:rsid w:val="00E427B4"/>
    <w:rsid w:val="00E42883"/>
    <w:rsid w:val="00E42D3A"/>
    <w:rsid w:val="00E43026"/>
    <w:rsid w:val="00E43CF2"/>
    <w:rsid w:val="00E46C29"/>
    <w:rsid w:val="00E47067"/>
    <w:rsid w:val="00E50C1C"/>
    <w:rsid w:val="00E534B7"/>
    <w:rsid w:val="00E544A1"/>
    <w:rsid w:val="00E54958"/>
    <w:rsid w:val="00E54CE7"/>
    <w:rsid w:val="00E56D3F"/>
    <w:rsid w:val="00E57107"/>
    <w:rsid w:val="00E632F7"/>
    <w:rsid w:val="00E63475"/>
    <w:rsid w:val="00E6486C"/>
    <w:rsid w:val="00E6576F"/>
    <w:rsid w:val="00E664A2"/>
    <w:rsid w:val="00E67D55"/>
    <w:rsid w:val="00E70638"/>
    <w:rsid w:val="00E7159E"/>
    <w:rsid w:val="00E72D8E"/>
    <w:rsid w:val="00E7364C"/>
    <w:rsid w:val="00E73B00"/>
    <w:rsid w:val="00E73CA4"/>
    <w:rsid w:val="00E755DE"/>
    <w:rsid w:val="00E77012"/>
    <w:rsid w:val="00E77ED2"/>
    <w:rsid w:val="00E80678"/>
    <w:rsid w:val="00E810C5"/>
    <w:rsid w:val="00E81A90"/>
    <w:rsid w:val="00E84997"/>
    <w:rsid w:val="00E85EE7"/>
    <w:rsid w:val="00E8732A"/>
    <w:rsid w:val="00E874E7"/>
    <w:rsid w:val="00E90399"/>
    <w:rsid w:val="00E90740"/>
    <w:rsid w:val="00E90EDE"/>
    <w:rsid w:val="00E9166B"/>
    <w:rsid w:val="00E93EEA"/>
    <w:rsid w:val="00E94E0E"/>
    <w:rsid w:val="00E96F50"/>
    <w:rsid w:val="00E97185"/>
    <w:rsid w:val="00E97283"/>
    <w:rsid w:val="00E97B46"/>
    <w:rsid w:val="00EA0B5B"/>
    <w:rsid w:val="00EA0C63"/>
    <w:rsid w:val="00EA1909"/>
    <w:rsid w:val="00EA2E4A"/>
    <w:rsid w:val="00EA47B3"/>
    <w:rsid w:val="00EA531B"/>
    <w:rsid w:val="00EA69AC"/>
    <w:rsid w:val="00EB05D5"/>
    <w:rsid w:val="00EB0761"/>
    <w:rsid w:val="00EB1327"/>
    <w:rsid w:val="00EB19B2"/>
    <w:rsid w:val="00EB229A"/>
    <w:rsid w:val="00EB278A"/>
    <w:rsid w:val="00EB4038"/>
    <w:rsid w:val="00EB432C"/>
    <w:rsid w:val="00EC053A"/>
    <w:rsid w:val="00EC0E84"/>
    <w:rsid w:val="00EC1FA6"/>
    <w:rsid w:val="00EC210D"/>
    <w:rsid w:val="00EC4CDA"/>
    <w:rsid w:val="00EC52D6"/>
    <w:rsid w:val="00EC75C5"/>
    <w:rsid w:val="00ED0B00"/>
    <w:rsid w:val="00ED0DB7"/>
    <w:rsid w:val="00ED4164"/>
    <w:rsid w:val="00ED5CC9"/>
    <w:rsid w:val="00ED649D"/>
    <w:rsid w:val="00ED64FF"/>
    <w:rsid w:val="00ED72A1"/>
    <w:rsid w:val="00EE036A"/>
    <w:rsid w:val="00EE0E3B"/>
    <w:rsid w:val="00EE0EFA"/>
    <w:rsid w:val="00EE2669"/>
    <w:rsid w:val="00EE46EB"/>
    <w:rsid w:val="00EE51E3"/>
    <w:rsid w:val="00EE67D8"/>
    <w:rsid w:val="00EF1AAE"/>
    <w:rsid w:val="00EF38AC"/>
    <w:rsid w:val="00EF4DD5"/>
    <w:rsid w:val="00EF59C7"/>
    <w:rsid w:val="00EF68DC"/>
    <w:rsid w:val="00EF7433"/>
    <w:rsid w:val="00EF753E"/>
    <w:rsid w:val="00F0002D"/>
    <w:rsid w:val="00F0076B"/>
    <w:rsid w:val="00F00FEF"/>
    <w:rsid w:val="00F01869"/>
    <w:rsid w:val="00F02D26"/>
    <w:rsid w:val="00F035C6"/>
    <w:rsid w:val="00F04825"/>
    <w:rsid w:val="00F04D1E"/>
    <w:rsid w:val="00F05D1F"/>
    <w:rsid w:val="00F05D60"/>
    <w:rsid w:val="00F06BA0"/>
    <w:rsid w:val="00F06FE5"/>
    <w:rsid w:val="00F1011D"/>
    <w:rsid w:val="00F106BE"/>
    <w:rsid w:val="00F106C9"/>
    <w:rsid w:val="00F12C02"/>
    <w:rsid w:val="00F130BE"/>
    <w:rsid w:val="00F1479D"/>
    <w:rsid w:val="00F15AC2"/>
    <w:rsid w:val="00F166E4"/>
    <w:rsid w:val="00F17762"/>
    <w:rsid w:val="00F17BA6"/>
    <w:rsid w:val="00F2068B"/>
    <w:rsid w:val="00F212EE"/>
    <w:rsid w:val="00F213B8"/>
    <w:rsid w:val="00F22563"/>
    <w:rsid w:val="00F23D4C"/>
    <w:rsid w:val="00F23FD4"/>
    <w:rsid w:val="00F2430B"/>
    <w:rsid w:val="00F255DE"/>
    <w:rsid w:val="00F25F04"/>
    <w:rsid w:val="00F261DF"/>
    <w:rsid w:val="00F26E3C"/>
    <w:rsid w:val="00F3106E"/>
    <w:rsid w:val="00F316BD"/>
    <w:rsid w:val="00F31911"/>
    <w:rsid w:val="00F31D2A"/>
    <w:rsid w:val="00F3202C"/>
    <w:rsid w:val="00F32592"/>
    <w:rsid w:val="00F34F32"/>
    <w:rsid w:val="00F35D18"/>
    <w:rsid w:val="00F35D95"/>
    <w:rsid w:val="00F37A91"/>
    <w:rsid w:val="00F41E70"/>
    <w:rsid w:val="00F43175"/>
    <w:rsid w:val="00F44195"/>
    <w:rsid w:val="00F45005"/>
    <w:rsid w:val="00F4789C"/>
    <w:rsid w:val="00F47BAD"/>
    <w:rsid w:val="00F47EFE"/>
    <w:rsid w:val="00F50407"/>
    <w:rsid w:val="00F5276D"/>
    <w:rsid w:val="00F55455"/>
    <w:rsid w:val="00F55468"/>
    <w:rsid w:val="00F55B22"/>
    <w:rsid w:val="00F572CC"/>
    <w:rsid w:val="00F6096F"/>
    <w:rsid w:val="00F61F45"/>
    <w:rsid w:val="00F61FFA"/>
    <w:rsid w:val="00F62D01"/>
    <w:rsid w:val="00F6476A"/>
    <w:rsid w:val="00F64BC3"/>
    <w:rsid w:val="00F65031"/>
    <w:rsid w:val="00F67DE4"/>
    <w:rsid w:val="00F71EFD"/>
    <w:rsid w:val="00F7292E"/>
    <w:rsid w:val="00F72D8D"/>
    <w:rsid w:val="00F73212"/>
    <w:rsid w:val="00F74F05"/>
    <w:rsid w:val="00F757B1"/>
    <w:rsid w:val="00F77E9E"/>
    <w:rsid w:val="00F81708"/>
    <w:rsid w:val="00F82552"/>
    <w:rsid w:val="00F83496"/>
    <w:rsid w:val="00F83506"/>
    <w:rsid w:val="00F8366C"/>
    <w:rsid w:val="00F83B48"/>
    <w:rsid w:val="00F840F5"/>
    <w:rsid w:val="00F8485B"/>
    <w:rsid w:val="00F8579F"/>
    <w:rsid w:val="00F859D8"/>
    <w:rsid w:val="00F86CA8"/>
    <w:rsid w:val="00F9024D"/>
    <w:rsid w:val="00F9177A"/>
    <w:rsid w:val="00F925AD"/>
    <w:rsid w:val="00F94E81"/>
    <w:rsid w:val="00F95887"/>
    <w:rsid w:val="00F961FE"/>
    <w:rsid w:val="00F977C0"/>
    <w:rsid w:val="00F97A0D"/>
    <w:rsid w:val="00FA1A8C"/>
    <w:rsid w:val="00FA253B"/>
    <w:rsid w:val="00FA2BCD"/>
    <w:rsid w:val="00FA4B3C"/>
    <w:rsid w:val="00FA4B51"/>
    <w:rsid w:val="00FA57DF"/>
    <w:rsid w:val="00FA649A"/>
    <w:rsid w:val="00FA6900"/>
    <w:rsid w:val="00FA6D7E"/>
    <w:rsid w:val="00FA6E3C"/>
    <w:rsid w:val="00FB1128"/>
    <w:rsid w:val="00FB1E4E"/>
    <w:rsid w:val="00FB2EEB"/>
    <w:rsid w:val="00FB3EDB"/>
    <w:rsid w:val="00FB4593"/>
    <w:rsid w:val="00FB51E9"/>
    <w:rsid w:val="00FB7F2A"/>
    <w:rsid w:val="00FC0853"/>
    <w:rsid w:val="00FC1B0C"/>
    <w:rsid w:val="00FC1BB3"/>
    <w:rsid w:val="00FC252B"/>
    <w:rsid w:val="00FC2747"/>
    <w:rsid w:val="00FC2BE3"/>
    <w:rsid w:val="00FC55CE"/>
    <w:rsid w:val="00FC5A01"/>
    <w:rsid w:val="00FC6C05"/>
    <w:rsid w:val="00FC6E1F"/>
    <w:rsid w:val="00FC7077"/>
    <w:rsid w:val="00FD05AD"/>
    <w:rsid w:val="00FD300B"/>
    <w:rsid w:val="00FD3014"/>
    <w:rsid w:val="00FD4CBA"/>
    <w:rsid w:val="00FD50BB"/>
    <w:rsid w:val="00FD63FC"/>
    <w:rsid w:val="00FD6582"/>
    <w:rsid w:val="00FD68F9"/>
    <w:rsid w:val="00FD743E"/>
    <w:rsid w:val="00FE1C57"/>
    <w:rsid w:val="00FE230B"/>
    <w:rsid w:val="00FE475B"/>
    <w:rsid w:val="00FE5032"/>
    <w:rsid w:val="00FE503D"/>
    <w:rsid w:val="00FE5D57"/>
    <w:rsid w:val="00FE6963"/>
    <w:rsid w:val="00FE7BAA"/>
    <w:rsid w:val="00FE7D94"/>
    <w:rsid w:val="00FF341F"/>
    <w:rsid w:val="00FF6456"/>
    <w:rsid w:val="00FF6F81"/>
    <w:rsid w:val="00FF7C06"/>
    <w:rsid w:val="0367779E"/>
    <w:rsid w:val="07314FEB"/>
    <w:rsid w:val="07D552DA"/>
    <w:rsid w:val="088E13A2"/>
    <w:rsid w:val="0BB038AB"/>
    <w:rsid w:val="0E5F370A"/>
    <w:rsid w:val="139A6EC6"/>
    <w:rsid w:val="171D3D25"/>
    <w:rsid w:val="17F73276"/>
    <w:rsid w:val="1D0159D4"/>
    <w:rsid w:val="22A24F88"/>
    <w:rsid w:val="256E58E4"/>
    <w:rsid w:val="3524297F"/>
    <w:rsid w:val="38BA0F27"/>
    <w:rsid w:val="3DA02EB6"/>
    <w:rsid w:val="42BD5CF7"/>
    <w:rsid w:val="483E0EC7"/>
    <w:rsid w:val="4D537691"/>
    <w:rsid w:val="4FC86754"/>
    <w:rsid w:val="523F1BC1"/>
    <w:rsid w:val="57FC20A2"/>
    <w:rsid w:val="5B6A530F"/>
    <w:rsid w:val="60845FA7"/>
    <w:rsid w:val="77F7218F"/>
    <w:rsid w:val="78F75BA9"/>
    <w:rsid w:val="7A8C23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qFormat/>
    <w:uiPriority w:val="99"/>
    <w:rPr>
      <w:rFonts w:ascii="Times New Roman" w:hAnsi="Times New Roman" w:eastAsia="仿宋_GB2312" w:cs="Times New Roman"/>
      <w:sz w:val="18"/>
      <w:szCs w:val="18"/>
    </w:rPr>
  </w:style>
  <w:style w:type="character" w:customStyle="1" w:styleId="9">
    <w:name w:val="页脚 Char"/>
    <w:basedOn w:val="7"/>
    <w:link w:val="3"/>
    <w:qFormat/>
    <w:uiPriority w:val="99"/>
    <w:rPr>
      <w:rFonts w:ascii="Times New Roman" w:hAnsi="Times New Roman" w:eastAsia="仿宋_GB2312" w:cs="Times New Roman"/>
      <w:sz w:val="18"/>
      <w:szCs w:val="18"/>
    </w:rPr>
  </w:style>
  <w:style w:type="character" w:customStyle="1" w:styleId="10">
    <w:name w:val="批注框文本 Char"/>
    <w:basedOn w:val="7"/>
    <w:link w:val="2"/>
    <w:semiHidden/>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BCFE44-4669-4136-9A6C-D72ECCFEE70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214</Words>
  <Characters>1223</Characters>
  <Lines>10</Lines>
  <Paragraphs>2</Paragraphs>
  <TotalTime>0</TotalTime>
  <ScaleCrop>false</ScaleCrop>
  <LinksUpToDate>false</LinksUpToDate>
  <CharactersWithSpaces>1435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2019-07-10T08:51:00Z</dcterms:created>
  <dc:creator>薛小颖</dc:creator>
  <cp:lastModifiedBy>刀蔷衬必蛔</cp:lastModifiedBy>
  <cp:lastPrinted>2019-07-09T11:19:00Z</cp:lastPrinted>
  <dcterms:modified xsi:type="dcterms:W3CDTF">2021-11-05T03:08:46Z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188CC344CB774D428C27A77E2CEB8AA0</vt:lpwstr>
  </property>
</Properties>
</file>